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CF631" w14:textId="77777777" w:rsidR="00DB10C0" w:rsidRDefault="00203C8B">
      <w:pPr>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noProof/>
        </w:rPr>
        <w:drawing>
          <wp:anchor distT="0" distB="0" distL="114300" distR="114300" simplePos="0" relativeHeight="251658240" behindDoc="0" locked="0" layoutInCell="1" hidden="0" allowOverlap="1" wp14:anchorId="45802DB1" wp14:editId="6165C99F">
            <wp:simplePos x="0" y="0"/>
            <wp:positionH relativeFrom="column">
              <wp:posOffset>2162556</wp:posOffset>
            </wp:positionH>
            <wp:positionV relativeFrom="paragraph">
              <wp:posOffset>0</wp:posOffset>
            </wp:positionV>
            <wp:extent cx="1618488" cy="1152144"/>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18488" cy="1152144"/>
                    </a:xfrm>
                    <a:prstGeom prst="rect">
                      <a:avLst/>
                    </a:prstGeom>
                    <a:ln/>
                  </pic:spPr>
                </pic:pic>
              </a:graphicData>
            </a:graphic>
          </wp:anchor>
        </w:drawing>
      </w:r>
    </w:p>
    <w:p w14:paraId="4A2D64EE" w14:textId="77777777" w:rsidR="00DB10C0" w:rsidRDefault="00203C8B">
      <w:pPr>
        <w:ind w:left="0" w:firstLine="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Mental Health Parity and Addiction Equity Act (MHPAEA) Compliance Reporting Instructions </w:t>
      </w:r>
    </w:p>
    <w:p w14:paraId="4A85E1F7" w14:textId="77777777" w:rsidR="00DB10C0" w:rsidRDefault="00203C8B">
      <w:pPr>
        <w:ind w:left="0" w:firstLine="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Non-Quantitative Treatment Limitations (NQTL)</w:t>
      </w:r>
    </w:p>
    <w:p w14:paraId="0D3AA2F7" w14:textId="77777777" w:rsidR="00DB10C0" w:rsidRDefault="00DB10C0">
      <w:pPr>
        <w:ind w:left="0" w:firstLine="0"/>
        <w:jc w:val="center"/>
        <w:rPr>
          <w:rFonts w:ascii="Times New Roman" w:eastAsia="Times New Roman" w:hAnsi="Times New Roman" w:cs="Times New Roman"/>
          <w:sz w:val="48"/>
          <w:szCs w:val="48"/>
        </w:rPr>
      </w:pPr>
    </w:p>
    <w:p w14:paraId="1D8A963B" w14:textId="77777777" w:rsidR="00DB10C0" w:rsidRDefault="00203C8B">
      <w:pPr>
        <w:ind w:left="0" w:firstLine="0"/>
        <w:jc w:val="center"/>
        <w:rPr>
          <w:rFonts w:ascii="Times New Roman" w:eastAsia="Times New Roman" w:hAnsi="Times New Roman" w:cs="Times New Roman"/>
          <w:color w:val="C00000"/>
          <w:sz w:val="44"/>
          <w:szCs w:val="44"/>
        </w:rPr>
      </w:pPr>
      <w:bookmarkStart w:id="0" w:name="_GoBack"/>
      <w:bookmarkEnd w:id="0"/>
      <w:r>
        <w:rPr>
          <w:rFonts w:ascii="Times New Roman" w:eastAsia="Times New Roman" w:hAnsi="Times New Roman" w:cs="Times New Roman"/>
          <w:color w:val="C00000"/>
          <w:sz w:val="44"/>
          <w:szCs w:val="44"/>
        </w:rPr>
        <w:t xml:space="preserve">Seven Step Analysis </w:t>
      </w:r>
    </w:p>
    <w:p w14:paraId="2ADDAD38" w14:textId="77777777" w:rsidR="004D213D" w:rsidRDefault="00203C8B">
      <w:pPr>
        <w:ind w:left="0" w:firstLine="0"/>
        <w:jc w:val="center"/>
        <w:rPr>
          <w:rFonts w:ascii="Times New Roman" w:eastAsia="Times New Roman" w:hAnsi="Times New Roman" w:cs="Times New Roman"/>
          <w:color w:val="C00000"/>
          <w:sz w:val="44"/>
          <w:szCs w:val="44"/>
        </w:rPr>
      </w:pPr>
      <w:r>
        <w:rPr>
          <w:rFonts w:ascii="Times New Roman" w:eastAsia="Times New Roman" w:hAnsi="Times New Roman" w:cs="Times New Roman"/>
          <w:color w:val="C00000"/>
          <w:sz w:val="44"/>
          <w:szCs w:val="44"/>
        </w:rPr>
        <w:t>Data Reporting</w:t>
      </w:r>
    </w:p>
    <w:p w14:paraId="68B20742" w14:textId="439BB616" w:rsidR="00DB10C0" w:rsidRDefault="004D213D">
      <w:pPr>
        <w:ind w:left="0" w:firstLine="0"/>
        <w:jc w:val="center"/>
        <w:rPr>
          <w:rFonts w:ascii="Times New Roman" w:eastAsia="Times New Roman" w:hAnsi="Times New Roman" w:cs="Times New Roman"/>
          <w:color w:val="C00000"/>
          <w:sz w:val="44"/>
          <w:szCs w:val="44"/>
        </w:rPr>
      </w:pPr>
      <w:r>
        <w:rPr>
          <w:rFonts w:ascii="Times New Roman" w:eastAsia="Times New Roman" w:hAnsi="Times New Roman" w:cs="Times New Roman"/>
          <w:color w:val="C00000"/>
          <w:sz w:val="44"/>
          <w:szCs w:val="44"/>
        </w:rPr>
        <w:t>For the 2026 Reporting Perio</w:t>
      </w:r>
      <w:r w:rsidR="00876C39">
        <w:rPr>
          <w:rFonts w:ascii="Times New Roman" w:eastAsia="Times New Roman" w:hAnsi="Times New Roman" w:cs="Times New Roman"/>
          <w:color w:val="C00000"/>
          <w:sz w:val="44"/>
          <w:szCs w:val="44"/>
        </w:rPr>
        <w:t>d</w:t>
      </w:r>
    </w:p>
    <w:p w14:paraId="10CD672A" w14:textId="77777777" w:rsidR="00DB10C0" w:rsidRDefault="00DB10C0">
      <w:pPr>
        <w:ind w:left="0" w:firstLine="0"/>
        <w:jc w:val="center"/>
        <w:rPr>
          <w:rFonts w:ascii="Times New Roman" w:eastAsia="Times New Roman" w:hAnsi="Times New Roman" w:cs="Times New Roman"/>
          <w:color w:val="C00000"/>
          <w:sz w:val="44"/>
          <w:szCs w:val="44"/>
        </w:rPr>
      </w:pPr>
    </w:p>
    <w:p w14:paraId="32FB7739" w14:textId="77777777" w:rsidR="00DB10C0" w:rsidRDefault="00203C8B">
      <w:pPr>
        <w:ind w:left="0" w:firstLine="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Contact: </w:t>
      </w:r>
      <w:hyperlink r:id="rId9">
        <w:r>
          <w:rPr>
            <w:rFonts w:ascii="Times New Roman" w:eastAsia="Times New Roman" w:hAnsi="Times New Roman" w:cs="Times New Roman"/>
            <w:color w:val="0563C1"/>
            <w:sz w:val="32"/>
            <w:szCs w:val="32"/>
            <w:u w:val="single"/>
          </w:rPr>
          <w:t>mhpaea.mia@maryland.gov</w:t>
        </w:r>
      </w:hyperlink>
      <w:r>
        <w:rPr>
          <w:rFonts w:ascii="Times New Roman" w:eastAsia="Times New Roman" w:hAnsi="Times New Roman" w:cs="Times New Roman"/>
          <w:sz w:val="32"/>
          <w:szCs w:val="32"/>
        </w:rPr>
        <w:t xml:space="preserve"> </w:t>
      </w:r>
    </w:p>
    <w:p w14:paraId="74198BB0" w14:textId="77777777" w:rsidR="00DB10C0" w:rsidRDefault="00DB10C0">
      <w:pPr>
        <w:ind w:left="0" w:firstLine="0"/>
        <w:jc w:val="center"/>
        <w:rPr>
          <w:rFonts w:ascii="Times New Roman" w:eastAsia="Times New Roman" w:hAnsi="Times New Roman" w:cs="Times New Roman"/>
          <w:sz w:val="36"/>
          <w:szCs w:val="36"/>
        </w:rPr>
      </w:pPr>
    </w:p>
    <w:p w14:paraId="45BA9379" w14:textId="327EFD0C" w:rsidR="00DB10C0" w:rsidRDefault="00DB10C0">
      <w:pPr>
        <w:ind w:left="0" w:firstLine="0"/>
        <w:jc w:val="center"/>
        <w:rPr>
          <w:rFonts w:ascii="Times New Roman" w:eastAsia="Times New Roman" w:hAnsi="Times New Roman" w:cs="Times New Roman"/>
          <w:sz w:val="36"/>
          <w:szCs w:val="36"/>
        </w:rPr>
      </w:pPr>
    </w:p>
    <w:p w14:paraId="4CBE77D2" w14:textId="1BCD2056" w:rsidR="004E6C6F" w:rsidRDefault="004E6C6F">
      <w:pPr>
        <w:ind w:left="0" w:firstLine="0"/>
        <w:jc w:val="center"/>
        <w:rPr>
          <w:rFonts w:ascii="Times New Roman" w:eastAsia="Times New Roman" w:hAnsi="Times New Roman" w:cs="Times New Roman"/>
          <w:sz w:val="36"/>
          <w:szCs w:val="36"/>
        </w:rPr>
      </w:pPr>
    </w:p>
    <w:p w14:paraId="275E4136" w14:textId="3D27E995" w:rsidR="004E6C6F" w:rsidRDefault="004E6C6F">
      <w:pPr>
        <w:ind w:left="0" w:firstLine="0"/>
        <w:jc w:val="center"/>
        <w:rPr>
          <w:rFonts w:ascii="Times New Roman" w:eastAsia="Times New Roman" w:hAnsi="Times New Roman" w:cs="Times New Roman"/>
          <w:sz w:val="36"/>
          <w:szCs w:val="36"/>
        </w:rPr>
      </w:pPr>
    </w:p>
    <w:p w14:paraId="3F38CA94" w14:textId="082003BD" w:rsidR="004E6C6F" w:rsidRDefault="004E6C6F">
      <w:pPr>
        <w:ind w:left="0" w:firstLine="0"/>
        <w:jc w:val="center"/>
        <w:rPr>
          <w:rFonts w:ascii="Times New Roman" w:eastAsia="Times New Roman" w:hAnsi="Times New Roman" w:cs="Times New Roman"/>
          <w:sz w:val="36"/>
          <w:szCs w:val="36"/>
        </w:rPr>
      </w:pPr>
    </w:p>
    <w:p w14:paraId="4F3C2561" w14:textId="77777777" w:rsidR="004E6C6F" w:rsidRDefault="004E6C6F">
      <w:pPr>
        <w:ind w:left="0" w:firstLine="0"/>
        <w:jc w:val="center"/>
        <w:rPr>
          <w:rFonts w:ascii="Times New Roman" w:eastAsia="Times New Roman" w:hAnsi="Times New Roman" w:cs="Times New Roman"/>
          <w:sz w:val="36"/>
          <w:szCs w:val="36"/>
        </w:rPr>
      </w:pPr>
    </w:p>
    <w:p w14:paraId="21B85D1B" w14:textId="77777777" w:rsidR="00DB10C0" w:rsidRDefault="00DB10C0">
      <w:pPr>
        <w:ind w:left="0" w:firstLine="0"/>
        <w:jc w:val="left"/>
        <w:rPr>
          <w:rFonts w:ascii="Times New Roman" w:eastAsia="Times New Roman" w:hAnsi="Times New Roman" w:cs="Times New Roman"/>
          <w:b/>
        </w:rPr>
      </w:pPr>
    </w:p>
    <w:bookmarkStart w:id="1" w:name="_gjdgxs" w:colFirst="0" w:colLast="0" w:displacedByCustomXml="next"/>
    <w:bookmarkEnd w:id="1" w:displacedByCustomXml="next"/>
    <w:sdt>
      <w:sdtPr>
        <w:rPr>
          <w:rFonts w:ascii="Arial" w:eastAsia="Arial" w:hAnsi="Arial" w:cs="Arial"/>
          <w:color w:val="auto"/>
          <w:sz w:val="22"/>
          <w:szCs w:val="22"/>
        </w:rPr>
        <w:id w:val="-846172536"/>
        <w:docPartObj>
          <w:docPartGallery w:val="Table of Contents"/>
          <w:docPartUnique/>
        </w:docPartObj>
      </w:sdtPr>
      <w:sdtEndPr>
        <w:rPr>
          <w:b/>
          <w:bCs/>
          <w:noProof/>
        </w:rPr>
      </w:sdtEndPr>
      <w:sdtContent>
        <w:p w14:paraId="0C36A233" w14:textId="437E7E85" w:rsidR="004F0CD8" w:rsidRDefault="004F0CD8">
          <w:pPr>
            <w:pStyle w:val="TOCHeading"/>
          </w:pPr>
          <w:r>
            <w:t>Contents</w:t>
          </w:r>
        </w:p>
        <w:p w14:paraId="51701DCC" w14:textId="4C1CB15E" w:rsidR="004F0CD8" w:rsidRDefault="004F0CD8">
          <w:pPr>
            <w:pStyle w:val="TOC1"/>
            <w:tabs>
              <w:tab w:val="right" w:leader="dot" w:pos="953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29123613" w:history="1">
            <w:r w:rsidRPr="008C09D5">
              <w:rPr>
                <w:rStyle w:val="Hyperlink"/>
                <w:noProof/>
              </w:rPr>
              <w:t>INTRODUCTION</w:t>
            </w:r>
            <w:r>
              <w:rPr>
                <w:noProof/>
                <w:webHidden/>
              </w:rPr>
              <w:tab/>
            </w:r>
            <w:r>
              <w:rPr>
                <w:noProof/>
                <w:webHidden/>
              </w:rPr>
              <w:fldChar w:fldCharType="begin"/>
            </w:r>
            <w:r>
              <w:rPr>
                <w:noProof/>
                <w:webHidden/>
              </w:rPr>
              <w:instrText xml:space="preserve"> PAGEREF _Toc229123613 \h </w:instrText>
            </w:r>
            <w:r>
              <w:rPr>
                <w:noProof/>
                <w:webHidden/>
              </w:rPr>
            </w:r>
            <w:r>
              <w:rPr>
                <w:noProof/>
                <w:webHidden/>
              </w:rPr>
              <w:fldChar w:fldCharType="separate"/>
            </w:r>
            <w:r>
              <w:rPr>
                <w:noProof/>
                <w:webHidden/>
              </w:rPr>
              <w:t>3</w:t>
            </w:r>
            <w:r>
              <w:rPr>
                <w:noProof/>
                <w:webHidden/>
              </w:rPr>
              <w:fldChar w:fldCharType="end"/>
            </w:r>
          </w:hyperlink>
        </w:p>
        <w:p w14:paraId="5533F03A" w14:textId="7B289F72" w:rsidR="004F0CD8" w:rsidRDefault="00BD7148">
          <w:pPr>
            <w:pStyle w:val="TOC1"/>
            <w:tabs>
              <w:tab w:val="right" w:leader="dot" w:pos="9530"/>
            </w:tabs>
            <w:rPr>
              <w:rFonts w:asciiTheme="minorHAnsi" w:eastAsiaTheme="minorEastAsia" w:hAnsiTheme="minorHAnsi" w:cstheme="minorBidi"/>
              <w:noProof/>
            </w:rPr>
          </w:pPr>
          <w:hyperlink w:anchor="_Toc229123614" w:history="1">
            <w:r w:rsidR="004F0CD8" w:rsidRPr="008C09D5">
              <w:rPr>
                <w:rStyle w:val="Hyperlink"/>
                <w:noProof/>
              </w:rPr>
              <w:t>INCOMPLETE ANALYSIS REPORTS AND OTHER RED FLAGS OF NONCOMPLIANCE</w:t>
            </w:r>
            <w:r w:rsidR="004F0CD8">
              <w:rPr>
                <w:noProof/>
                <w:webHidden/>
              </w:rPr>
              <w:tab/>
            </w:r>
            <w:r w:rsidR="004F0CD8">
              <w:rPr>
                <w:noProof/>
                <w:webHidden/>
              </w:rPr>
              <w:fldChar w:fldCharType="begin"/>
            </w:r>
            <w:r w:rsidR="004F0CD8">
              <w:rPr>
                <w:noProof/>
                <w:webHidden/>
              </w:rPr>
              <w:instrText xml:space="preserve"> PAGEREF _Toc229123614 \h </w:instrText>
            </w:r>
            <w:r w:rsidR="004F0CD8">
              <w:rPr>
                <w:noProof/>
                <w:webHidden/>
              </w:rPr>
            </w:r>
            <w:r w:rsidR="004F0CD8">
              <w:rPr>
                <w:noProof/>
                <w:webHidden/>
              </w:rPr>
              <w:fldChar w:fldCharType="separate"/>
            </w:r>
            <w:r w:rsidR="004F0CD8">
              <w:rPr>
                <w:noProof/>
                <w:webHidden/>
              </w:rPr>
              <w:t>4</w:t>
            </w:r>
            <w:r w:rsidR="004F0CD8">
              <w:rPr>
                <w:noProof/>
                <w:webHidden/>
              </w:rPr>
              <w:fldChar w:fldCharType="end"/>
            </w:r>
          </w:hyperlink>
        </w:p>
        <w:p w14:paraId="4493C819" w14:textId="0C6C5A2C" w:rsidR="004F0CD8" w:rsidRDefault="00BD7148">
          <w:pPr>
            <w:pStyle w:val="TOC1"/>
            <w:tabs>
              <w:tab w:val="right" w:leader="dot" w:pos="9530"/>
            </w:tabs>
            <w:rPr>
              <w:rFonts w:asciiTheme="minorHAnsi" w:eastAsiaTheme="minorEastAsia" w:hAnsiTheme="minorHAnsi" w:cstheme="minorBidi"/>
              <w:noProof/>
            </w:rPr>
          </w:pPr>
          <w:hyperlink w:anchor="_Toc229123615" w:history="1">
            <w:r w:rsidR="004F0CD8" w:rsidRPr="008C09D5">
              <w:rPr>
                <w:rStyle w:val="Hyperlink"/>
                <w:noProof/>
              </w:rPr>
              <w:t>NQTLs FOR 2026</w:t>
            </w:r>
            <w:r w:rsidR="004F0CD8">
              <w:rPr>
                <w:noProof/>
                <w:webHidden/>
              </w:rPr>
              <w:tab/>
            </w:r>
            <w:r w:rsidR="004F0CD8">
              <w:rPr>
                <w:noProof/>
                <w:webHidden/>
              </w:rPr>
              <w:fldChar w:fldCharType="begin"/>
            </w:r>
            <w:r w:rsidR="004F0CD8">
              <w:rPr>
                <w:noProof/>
                <w:webHidden/>
              </w:rPr>
              <w:instrText xml:space="preserve"> PAGEREF _Toc229123615 \h </w:instrText>
            </w:r>
            <w:r w:rsidR="004F0CD8">
              <w:rPr>
                <w:noProof/>
                <w:webHidden/>
              </w:rPr>
            </w:r>
            <w:r w:rsidR="004F0CD8">
              <w:rPr>
                <w:noProof/>
                <w:webHidden/>
              </w:rPr>
              <w:fldChar w:fldCharType="separate"/>
            </w:r>
            <w:r w:rsidR="004F0CD8">
              <w:rPr>
                <w:noProof/>
                <w:webHidden/>
              </w:rPr>
              <w:t>5</w:t>
            </w:r>
            <w:r w:rsidR="004F0CD8">
              <w:rPr>
                <w:noProof/>
                <w:webHidden/>
              </w:rPr>
              <w:fldChar w:fldCharType="end"/>
            </w:r>
          </w:hyperlink>
        </w:p>
        <w:p w14:paraId="7470378D" w14:textId="7F16A127" w:rsidR="004F0CD8" w:rsidRDefault="00BD7148">
          <w:pPr>
            <w:pStyle w:val="TOC1"/>
            <w:tabs>
              <w:tab w:val="right" w:leader="dot" w:pos="9530"/>
            </w:tabs>
            <w:rPr>
              <w:rFonts w:asciiTheme="minorHAnsi" w:eastAsiaTheme="minorEastAsia" w:hAnsiTheme="minorHAnsi" w:cstheme="minorBidi"/>
              <w:noProof/>
            </w:rPr>
          </w:pPr>
          <w:hyperlink w:anchor="_Toc229123616" w:history="1">
            <w:r w:rsidR="00932842">
              <w:rPr>
                <w:rStyle w:val="Hyperlink"/>
                <w:noProof/>
              </w:rPr>
              <w:t>DATA SUPPLEMENTS</w:t>
            </w:r>
            <w:r w:rsidR="004F0CD8">
              <w:rPr>
                <w:noProof/>
                <w:webHidden/>
              </w:rPr>
              <w:tab/>
            </w:r>
            <w:r w:rsidR="004F0CD8">
              <w:rPr>
                <w:noProof/>
                <w:webHidden/>
              </w:rPr>
              <w:fldChar w:fldCharType="begin"/>
            </w:r>
            <w:r w:rsidR="004F0CD8">
              <w:rPr>
                <w:noProof/>
                <w:webHidden/>
              </w:rPr>
              <w:instrText xml:space="preserve"> PAGEREF _Toc229123616 \h </w:instrText>
            </w:r>
            <w:r w:rsidR="004F0CD8">
              <w:rPr>
                <w:noProof/>
                <w:webHidden/>
              </w:rPr>
            </w:r>
            <w:r w:rsidR="004F0CD8">
              <w:rPr>
                <w:noProof/>
                <w:webHidden/>
              </w:rPr>
              <w:fldChar w:fldCharType="separate"/>
            </w:r>
            <w:r w:rsidR="004F0CD8">
              <w:rPr>
                <w:noProof/>
                <w:webHidden/>
              </w:rPr>
              <w:t>6</w:t>
            </w:r>
            <w:r w:rsidR="004F0CD8">
              <w:rPr>
                <w:noProof/>
                <w:webHidden/>
              </w:rPr>
              <w:fldChar w:fldCharType="end"/>
            </w:r>
          </w:hyperlink>
        </w:p>
        <w:p w14:paraId="10101F93" w14:textId="7B3155D1" w:rsidR="004F0CD8" w:rsidRDefault="00BD7148">
          <w:pPr>
            <w:pStyle w:val="TOC1"/>
            <w:tabs>
              <w:tab w:val="right" w:leader="dot" w:pos="9530"/>
            </w:tabs>
            <w:rPr>
              <w:rFonts w:asciiTheme="minorHAnsi" w:eastAsiaTheme="minorEastAsia" w:hAnsiTheme="minorHAnsi" w:cstheme="minorBidi"/>
              <w:noProof/>
            </w:rPr>
          </w:pPr>
          <w:hyperlink w:anchor="_Toc229123617" w:history="1">
            <w:r w:rsidR="004F0CD8" w:rsidRPr="008C09D5">
              <w:rPr>
                <w:rStyle w:val="Hyperlink"/>
                <w:noProof/>
              </w:rPr>
              <w:t>DUE DATE</w:t>
            </w:r>
            <w:r w:rsidR="004F0CD8">
              <w:rPr>
                <w:noProof/>
                <w:webHidden/>
              </w:rPr>
              <w:tab/>
            </w:r>
            <w:r w:rsidR="004F0CD8">
              <w:rPr>
                <w:noProof/>
                <w:webHidden/>
              </w:rPr>
              <w:fldChar w:fldCharType="begin"/>
            </w:r>
            <w:r w:rsidR="004F0CD8">
              <w:rPr>
                <w:noProof/>
                <w:webHidden/>
              </w:rPr>
              <w:instrText xml:space="preserve"> PAGEREF _Toc229123617 \h </w:instrText>
            </w:r>
            <w:r w:rsidR="004F0CD8">
              <w:rPr>
                <w:noProof/>
                <w:webHidden/>
              </w:rPr>
            </w:r>
            <w:r w:rsidR="004F0CD8">
              <w:rPr>
                <w:noProof/>
                <w:webHidden/>
              </w:rPr>
              <w:fldChar w:fldCharType="separate"/>
            </w:r>
            <w:r w:rsidR="004F0CD8">
              <w:rPr>
                <w:noProof/>
                <w:webHidden/>
              </w:rPr>
              <w:t>6</w:t>
            </w:r>
            <w:r w:rsidR="004F0CD8">
              <w:rPr>
                <w:noProof/>
                <w:webHidden/>
              </w:rPr>
              <w:fldChar w:fldCharType="end"/>
            </w:r>
          </w:hyperlink>
        </w:p>
        <w:p w14:paraId="55980DE9" w14:textId="143ADF1E" w:rsidR="004F0CD8" w:rsidRDefault="00BD7148">
          <w:pPr>
            <w:pStyle w:val="TOC1"/>
            <w:tabs>
              <w:tab w:val="right" w:leader="dot" w:pos="9530"/>
            </w:tabs>
            <w:rPr>
              <w:rFonts w:asciiTheme="minorHAnsi" w:eastAsiaTheme="minorEastAsia" w:hAnsiTheme="minorHAnsi" w:cstheme="minorBidi"/>
              <w:noProof/>
            </w:rPr>
          </w:pPr>
          <w:hyperlink w:anchor="_Toc229123618" w:history="1">
            <w:r w:rsidR="004F0CD8" w:rsidRPr="008C09D5">
              <w:rPr>
                <w:rStyle w:val="Hyperlink"/>
                <w:noProof/>
              </w:rPr>
              <w:t>DEFINITIONS</w:t>
            </w:r>
            <w:r w:rsidR="004F0CD8">
              <w:rPr>
                <w:noProof/>
                <w:webHidden/>
              </w:rPr>
              <w:tab/>
            </w:r>
            <w:r w:rsidR="004F0CD8">
              <w:rPr>
                <w:noProof/>
                <w:webHidden/>
              </w:rPr>
              <w:fldChar w:fldCharType="begin"/>
            </w:r>
            <w:r w:rsidR="004F0CD8">
              <w:rPr>
                <w:noProof/>
                <w:webHidden/>
              </w:rPr>
              <w:instrText xml:space="preserve"> PAGEREF _Toc229123618 \h </w:instrText>
            </w:r>
            <w:r w:rsidR="004F0CD8">
              <w:rPr>
                <w:noProof/>
                <w:webHidden/>
              </w:rPr>
            </w:r>
            <w:r w:rsidR="004F0CD8">
              <w:rPr>
                <w:noProof/>
                <w:webHidden/>
              </w:rPr>
              <w:fldChar w:fldCharType="separate"/>
            </w:r>
            <w:r w:rsidR="004F0CD8">
              <w:rPr>
                <w:noProof/>
                <w:webHidden/>
              </w:rPr>
              <w:t>6</w:t>
            </w:r>
            <w:r w:rsidR="004F0CD8">
              <w:rPr>
                <w:noProof/>
                <w:webHidden/>
              </w:rPr>
              <w:fldChar w:fldCharType="end"/>
            </w:r>
          </w:hyperlink>
        </w:p>
        <w:p w14:paraId="455A96BC" w14:textId="428948BF" w:rsidR="004F0CD8" w:rsidRDefault="00BD7148">
          <w:pPr>
            <w:pStyle w:val="TOC1"/>
            <w:tabs>
              <w:tab w:val="right" w:leader="dot" w:pos="9530"/>
            </w:tabs>
            <w:rPr>
              <w:rFonts w:asciiTheme="minorHAnsi" w:eastAsiaTheme="minorEastAsia" w:hAnsiTheme="minorHAnsi" w:cstheme="minorBidi"/>
              <w:noProof/>
            </w:rPr>
          </w:pPr>
          <w:hyperlink w:anchor="_Toc229123619" w:history="1">
            <w:r w:rsidR="004F0CD8" w:rsidRPr="008C09D5">
              <w:rPr>
                <w:rStyle w:val="Hyperlink"/>
                <w:noProof/>
              </w:rPr>
              <w:t>GENERAL INSTRUCTIONS FOR EVERY NQTL</w:t>
            </w:r>
            <w:r w:rsidR="004F0CD8">
              <w:rPr>
                <w:noProof/>
                <w:webHidden/>
              </w:rPr>
              <w:tab/>
            </w:r>
            <w:r w:rsidR="004F0CD8">
              <w:rPr>
                <w:noProof/>
                <w:webHidden/>
              </w:rPr>
              <w:fldChar w:fldCharType="begin"/>
            </w:r>
            <w:r w:rsidR="004F0CD8">
              <w:rPr>
                <w:noProof/>
                <w:webHidden/>
              </w:rPr>
              <w:instrText xml:space="preserve"> PAGEREF _Toc229123619 \h </w:instrText>
            </w:r>
            <w:r w:rsidR="004F0CD8">
              <w:rPr>
                <w:noProof/>
                <w:webHidden/>
              </w:rPr>
            </w:r>
            <w:r w:rsidR="004F0CD8">
              <w:rPr>
                <w:noProof/>
                <w:webHidden/>
              </w:rPr>
              <w:fldChar w:fldCharType="separate"/>
            </w:r>
            <w:r w:rsidR="004F0CD8">
              <w:rPr>
                <w:noProof/>
                <w:webHidden/>
              </w:rPr>
              <w:t>8</w:t>
            </w:r>
            <w:r w:rsidR="004F0CD8">
              <w:rPr>
                <w:noProof/>
                <w:webHidden/>
              </w:rPr>
              <w:fldChar w:fldCharType="end"/>
            </w:r>
          </w:hyperlink>
        </w:p>
        <w:p w14:paraId="3F558423" w14:textId="59D9A69E" w:rsidR="004F0CD8" w:rsidRDefault="00BD7148">
          <w:pPr>
            <w:pStyle w:val="TOC2"/>
            <w:tabs>
              <w:tab w:val="right" w:leader="dot" w:pos="9530"/>
            </w:tabs>
            <w:rPr>
              <w:rFonts w:asciiTheme="minorHAnsi" w:eastAsiaTheme="minorEastAsia" w:hAnsiTheme="minorHAnsi" w:cstheme="minorBidi"/>
              <w:noProof/>
            </w:rPr>
          </w:pPr>
          <w:hyperlink w:anchor="_Toc229123620" w:history="1">
            <w:r w:rsidR="004F0CD8" w:rsidRPr="002373AF">
              <w:rPr>
                <w:rStyle w:val="Hyperlink"/>
                <w:noProof/>
              </w:rPr>
              <w:t>Product/Plan Information and Covered Services</w:t>
            </w:r>
            <w:r w:rsidR="004F0CD8">
              <w:rPr>
                <w:noProof/>
                <w:webHidden/>
              </w:rPr>
              <w:tab/>
            </w:r>
            <w:r w:rsidR="004F0CD8">
              <w:rPr>
                <w:noProof/>
                <w:webHidden/>
              </w:rPr>
              <w:fldChar w:fldCharType="begin"/>
            </w:r>
            <w:r w:rsidR="004F0CD8">
              <w:rPr>
                <w:noProof/>
                <w:webHidden/>
              </w:rPr>
              <w:instrText xml:space="preserve"> PAGEREF _Toc229123620 \h </w:instrText>
            </w:r>
            <w:r w:rsidR="004F0CD8">
              <w:rPr>
                <w:noProof/>
                <w:webHidden/>
              </w:rPr>
            </w:r>
            <w:r w:rsidR="004F0CD8">
              <w:rPr>
                <w:noProof/>
                <w:webHidden/>
              </w:rPr>
              <w:fldChar w:fldCharType="separate"/>
            </w:r>
            <w:r w:rsidR="004F0CD8">
              <w:rPr>
                <w:noProof/>
                <w:webHidden/>
              </w:rPr>
              <w:t>8</w:t>
            </w:r>
            <w:r w:rsidR="004F0CD8">
              <w:rPr>
                <w:noProof/>
                <w:webHidden/>
              </w:rPr>
              <w:fldChar w:fldCharType="end"/>
            </w:r>
          </w:hyperlink>
        </w:p>
        <w:p w14:paraId="4EBB0463" w14:textId="28332F5C" w:rsidR="004F0CD8" w:rsidRDefault="00BD7148">
          <w:pPr>
            <w:pStyle w:val="TOC2"/>
            <w:tabs>
              <w:tab w:val="right" w:leader="dot" w:pos="9530"/>
            </w:tabs>
            <w:rPr>
              <w:rFonts w:asciiTheme="minorHAnsi" w:eastAsiaTheme="minorEastAsia" w:hAnsiTheme="minorHAnsi" w:cstheme="minorBidi"/>
              <w:noProof/>
            </w:rPr>
          </w:pPr>
          <w:hyperlink w:anchor="_Toc229123621" w:history="1">
            <w:r w:rsidR="004F0CD8" w:rsidRPr="002373AF">
              <w:rPr>
                <w:rStyle w:val="Hyperlink"/>
                <w:noProof/>
              </w:rPr>
              <w:t>Benefit Classifications</w:t>
            </w:r>
            <w:r w:rsidR="004F0CD8">
              <w:rPr>
                <w:noProof/>
                <w:webHidden/>
              </w:rPr>
              <w:tab/>
            </w:r>
            <w:r w:rsidR="004F0CD8">
              <w:rPr>
                <w:noProof/>
                <w:webHidden/>
              </w:rPr>
              <w:fldChar w:fldCharType="begin"/>
            </w:r>
            <w:r w:rsidR="004F0CD8">
              <w:rPr>
                <w:noProof/>
                <w:webHidden/>
              </w:rPr>
              <w:instrText xml:space="preserve"> PAGEREF _Toc229123621 \h </w:instrText>
            </w:r>
            <w:r w:rsidR="004F0CD8">
              <w:rPr>
                <w:noProof/>
                <w:webHidden/>
              </w:rPr>
            </w:r>
            <w:r w:rsidR="004F0CD8">
              <w:rPr>
                <w:noProof/>
                <w:webHidden/>
              </w:rPr>
              <w:fldChar w:fldCharType="separate"/>
            </w:r>
            <w:r w:rsidR="004F0CD8">
              <w:rPr>
                <w:noProof/>
                <w:webHidden/>
              </w:rPr>
              <w:t>9</w:t>
            </w:r>
            <w:r w:rsidR="004F0CD8">
              <w:rPr>
                <w:noProof/>
                <w:webHidden/>
              </w:rPr>
              <w:fldChar w:fldCharType="end"/>
            </w:r>
          </w:hyperlink>
        </w:p>
        <w:p w14:paraId="77A4235A" w14:textId="75313310" w:rsidR="004F0CD8" w:rsidRDefault="00BD7148">
          <w:pPr>
            <w:pStyle w:val="TOC1"/>
            <w:tabs>
              <w:tab w:val="right" w:leader="dot" w:pos="9530"/>
            </w:tabs>
            <w:rPr>
              <w:rFonts w:asciiTheme="minorHAnsi" w:eastAsiaTheme="minorEastAsia" w:hAnsiTheme="minorHAnsi" w:cstheme="minorBidi"/>
              <w:noProof/>
            </w:rPr>
          </w:pPr>
          <w:hyperlink w:anchor="_Toc229123622" w:history="1">
            <w:r w:rsidR="004F0CD8" w:rsidRPr="008C09D5">
              <w:rPr>
                <w:rStyle w:val="Hyperlink"/>
                <w:noProof/>
              </w:rPr>
              <w:t>UNDERSTANDING THE SEVEN STEPS FOR ALL NQTLs</w:t>
            </w:r>
            <w:r w:rsidR="004F0CD8">
              <w:rPr>
                <w:noProof/>
                <w:webHidden/>
              </w:rPr>
              <w:tab/>
            </w:r>
            <w:r w:rsidR="004F0CD8">
              <w:rPr>
                <w:noProof/>
                <w:webHidden/>
              </w:rPr>
              <w:fldChar w:fldCharType="begin"/>
            </w:r>
            <w:r w:rsidR="004F0CD8">
              <w:rPr>
                <w:noProof/>
                <w:webHidden/>
              </w:rPr>
              <w:instrText xml:space="preserve"> PAGEREF _Toc229123622 \h </w:instrText>
            </w:r>
            <w:r w:rsidR="004F0CD8">
              <w:rPr>
                <w:noProof/>
                <w:webHidden/>
              </w:rPr>
            </w:r>
            <w:r w:rsidR="004F0CD8">
              <w:rPr>
                <w:noProof/>
                <w:webHidden/>
              </w:rPr>
              <w:fldChar w:fldCharType="separate"/>
            </w:r>
            <w:r w:rsidR="004F0CD8">
              <w:rPr>
                <w:noProof/>
                <w:webHidden/>
              </w:rPr>
              <w:t>10</w:t>
            </w:r>
            <w:r w:rsidR="004F0CD8">
              <w:rPr>
                <w:noProof/>
                <w:webHidden/>
              </w:rPr>
              <w:fldChar w:fldCharType="end"/>
            </w:r>
          </w:hyperlink>
        </w:p>
        <w:p w14:paraId="6EED2848" w14:textId="71CC5661" w:rsidR="004F0CD8" w:rsidRDefault="00BD7148">
          <w:pPr>
            <w:pStyle w:val="TOC2"/>
            <w:tabs>
              <w:tab w:val="right" w:leader="dot" w:pos="9530"/>
            </w:tabs>
            <w:rPr>
              <w:rFonts w:asciiTheme="minorHAnsi" w:eastAsiaTheme="minorEastAsia" w:hAnsiTheme="minorHAnsi" w:cstheme="minorBidi"/>
              <w:noProof/>
            </w:rPr>
          </w:pPr>
          <w:hyperlink w:anchor="_Toc229123623" w:history="1">
            <w:r w:rsidR="004F0CD8" w:rsidRPr="002373AF">
              <w:rPr>
                <w:rStyle w:val="Hyperlink"/>
                <w:noProof/>
              </w:rPr>
              <w:t>Step 1: NQTL Description, Application, and Methodology</w:t>
            </w:r>
            <w:r w:rsidR="004F0CD8">
              <w:rPr>
                <w:noProof/>
                <w:webHidden/>
              </w:rPr>
              <w:tab/>
            </w:r>
            <w:r w:rsidR="004F0CD8">
              <w:rPr>
                <w:noProof/>
                <w:webHidden/>
              </w:rPr>
              <w:fldChar w:fldCharType="begin"/>
            </w:r>
            <w:r w:rsidR="004F0CD8">
              <w:rPr>
                <w:noProof/>
                <w:webHidden/>
              </w:rPr>
              <w:instrText xml:space="preserve"> PAGEREF _Toc229123623 \h </w:instrText>
            </w:r>
            <w:r w:rsidR="004F0CD8">
              <w:rPr>
                <w:noProof/>
                <w:webHidden/>
              </w:rPr>
            </w:r>
            <w:r w:rsidR="004F0CD8">
              <w:rPr>
                <w:noProof/>
                <w:webHidden/>
              </w:rPr>
              <w:fldChar w:fldCharType="separate"/>
            </w:r>
            <w:r w:rsidR="004F0CD8">
              <w:rPr>
                <w:noProof/>
                <w:webHidden/>
              </w:rPr>
              <w:t>10</w:t>
            </w:r>
            <w:r w:rsidR="004F0CD8">
              <w:rPr>
                <w:noProof/>
                <w:webHidden/>
              </w:rPr>
              <w:fldChar w:fldCharType="end"/>
            </w:r>
          </w:hyperlink>
        </w:p>
        <w:p w14:paraId="1B2F4446" w14:textId="5D0ADF60" w:rsidR="004F0CD8" w:rsidRDefault="00BD7148">
          <w:pPr>
            <w:pStyle w:val="TOC2"/>
            <w:tabs>
              <w:tab w:val="right" w:leader="dot" w:pos="9530"/>
            </w:tabs>
            <w:rPr>
              <w:rFonts w:asciiTheme="minorHAnsi" w:eastAsiaTheme="minorEastAsia" w:hAnsiTheme="minorHAnsi" w:cstheme="minorBidi"/>
              <w:noProof/>
            </w:rPr>
          </w:pPr>
          <w:hyperlink w:anchor="_Toc229123624" w:history="1">
            <w:r w:rsidR="004F0CD8" w:rsidRPr="002373AF">
              <w:rPr>
                <w:rStyle w:val="Hyperlink"/>
                <w:noProof/>
              </w:rPr>
              <w:t>Step 2: Factors and Sources by Benefit and Classification</w:t>
            </w:r>
            <w:r w:rsidR="004F0CD8">
              <w:rPr>
                <w:noProof/>
                <w:webHidden/>
              </w:rPr>
              <w:tab/>
            </w:r>
            <w:r w:rsidR="004F0CD8">
              <w:rPr>
                <w:noProof/>
                <w:webHidden/>
              </w:rPr>
              <w:fldChar w:fldCharType="begin"/>
            </w:r>
            <w:r w:rsidR="004F0CD8">
              <w:rPr>
                <w:noProof/>
                <w:webHidden/>
              </w:rPr>
              <w:instrText xml:space="preserve"> PAGEREF _Toc229123624 \h </w:instrText>
            </w:r>
            <w:r w:rsidR="004F0CD8">
              <w:rPr>
                <w:noProof/>
                <w:webHidden/>
              </w:rPr>
            </w:r>
            <w:r w:rsidR="004F0CD8">
              <w:rPr>
                <w:noProof/>
                <w:webHidden/>
              </w:rPr>
              <w:fldChar w:fldCharType="separate"/>
            </w:r>
            <w:r w:rsidR="004F0CD8">
              <w:rPr>
                <w:noProof/>
                <w:webHidden/>
              </w:rPr>
              <w:t>11</w:t>
            </w:r>
            <w:r w:rsidR="004F0CD8">
              <w:rPr>
                <w:noProof/>
                <w:webHidden/>
              </w:rPr>
              <w:fldChar w:fldCharType="end"/>
            </w:r>
          </w:hyperlink>
        </w:p>
        <w:p w14:paraId="7F5AFD7A" w14:textId="5ABB5135" w:rsidR="004F0CD8" w:rsidRDefault="00BD7148">
          <w:pPr>
            <w:pStyle w:val="TOC2"/>
            <w:tabs>
              <w:tab w:val="right" w:leader="dot" w:pos="9530"/>
            </w:tabs>
            <w:rPr>
              <w:rFonts w:asciiTheme="minorHAnsi" w:eastAsiaTheme="minorEastAsia" w:hAnsiTheme="minorHAnsi" w:cstheme="minorBidi"/>
              <w:noProof/>
            </w:rPr>
          </w:pPr>
          <w:hyperlink w:anchor="_Toc229123625" w:history="1">
            <w:r w:rsidR="004F0CD8" w:rsidRPr="002373AF">
              <w:rPr>
                <w:rStyle w:val="Hyperlink"/>
                <w:noProof/>
              </w:rPr>
              <w:t>Step 3: Evidence for Each Factor and Evidentiary Standard</w:t>
            </w:r>
            <w:r w:rsidR="004F0CD8">
              <w:rPr>
                <w:noProof/>
                <w:webHidden/>
              </w:rPr>
              <w:tab/>
            </w:r>
            <w:r w:rsidR="004F0CD8">
              <w:rPr>
                <w:noProof/>
                <w:webHidden/>
              </w:rPr>
              <w:fldChar w:fldCharType="begin"/>
            </w:r>
            <w:r w:rsidR="004F0CD8">
              <w:rPr>
                <w:noProof/>
                <w:webHidden/>
              </w:rPr>
              <w:instrText xml:space="preserve"> PAGEREF _Toc229123625 \h </w:instrText>
            </w:r>
            <w:r w:rsidR="004F0CD8">
              <w:rPr>
                <w:noProof/>
                <w:webHidden/>
              </w:rPr>
            </w:r>
            <w:r w:rsidR="004F0CD8">
              <w:rPr>
                <w:noProof/>
                <w:webHidden/>
              </w:rPr>
              <w:fldChar w:fldCharType="separate"/>
            </w:r>
            <w:r w:rsidR="004F0CD8">
              <w:rPr>
                <w:noProof/>
                <w:webHidden/>
              </w:rPr>
              <w:t>13</w:t>
            </w:r>
            <w:r w:rsidR="004F0CD8">
              <w:rPr>
                <w:noProof/>
                <w:webHidden/>
              </w:rPr>
              <w:fldChar w:fldCharType="end"/>
            </w:r>
          </w:hyperlink>
        </w:p>
        <w:p w14:paraId="60BB3F88" w14:textId="19063F4B" w:rsidR="004F0CD8" w:rsidRDefault="00BD7148">
          <w:pPr>
            <w:pStyle w:val="TOC2"/>
            <w:tabs>
              <w:tab w:val="right" w:leader="dot" w:pos="9530"/>
            </w:tabs>
            <w:rPr>
              <w:rFonts w:asciiTheme="minorHAnsi" w:eastAsiaTheme="minorEastAsia" w:hAnsiTheme="minorHAnsi" w:cstheme="minorBidi"/>
              <w:noProof/>
            </w:rPr>
          </w:pPr>
          <w:hyperlink w:anchor="_Toc229123626" w:history="1">
            <w:r w:rsidR="004F0CD8" w:rsidRPr="002373AF">
              <w:rPr>
                <w:rStyle w:val="Hyperlink"/>
                <w:noProof/>
              </w:rPr>
              <w:t>Step 4: Comparable Written Policies</w:t>
            </w:r>
            <w:r w:rsidR="004F0CD8">
              <w:rPr>
                <w:noProof/>
                <w:webHidden/>
              </w:rPr>
              <w:tab/>
            </w:r>
            <w:r w:rsidR="004F0CD8">
              <w:rPr>
                <w:noProof/>
                <w:webHidden/>
              </w:rPr>
              <w:fldChar w:fldCharType="begin"/>
            </w:r>
            <w:r w:rsidR="004F0CD8">
              <w:rPr>
                <w:noProof/>
                <w:webHidden/>
              </w:rPr>
              <w:instrText xml:space="preserve"> PAGEREF _Toc229123626 \h </w:instrText>
            </w:r>
            <w:r w:rsidR="004F0CD8">
              <w:rPr>
                <w:noProof/>
                <w:webHidden/>
              </w:rPr>
            </w:r>
            <w:r w:rsidR="004F0CD8">
              <w:rPr>
                <w:noProof/>
                <w:webHidden/>
              </w:rPr>
              <w:fldChar w:fldCharType="separate"/>
            </w:r>
            <w:r w:rsidR="004F0CD8">
              <w:rPr>
                <w:noProof/>
                <w:webHidden/>
              </w:rPr>
              <w:t>15</w:t>
            </w:r>
            <w:r w:rsidR="004F0CD8">
              <w:rPr>
                <w:noProof/>
                <w:webHidden/>
              </w:rPr>
              <w:fldChar w:fldCharType="end"/>
            </w:r>
          </w:hyperlink>
        </w:p>
        <w:p w14:paraId="0A813B52" w14:textId="63ED32C5" w:rsidR="004F0CD8" w:rsidRDefault="00BD7148">
          <w:pPr>
            <w:pStyle w:val="TOC2"/>
            <w:tabs>
              <w:tab w:val="right" w:leader="dot" w:pos="9530"/>
            </w:tabs>
            <w:rPr>
              <w:rFonts w:asciiTheme="minorHAnsi" w:eastAsiaTheme="minorEastAsia" w:hAnsiTheme="minorHAnsi" w:cstheme="minorBidi"/>
              <w:noProof/>
            </w:rPr>
          </w:pPr>
          <w:hyperlink w:anchor="_Toc229123627" w:history="1">
            <w:r w:rsidR="004F0CD8" w:rsidRPr="002373AF">
              <w:rPr>
                <w:rStyle w:val="Hyperlink"/>
                <w:noProof/>
              </w:rPr>
              <w:t>Step 5: Comparable In-Operation Data Analysis/Audits/Reviews</w:t>
            </w:r>
            <w:r w:rsidR="004F0CD8">
              <w:rPr>
                <w:noProof/>
                <w:webHidden/>
              </w:rPr>
              <w:tab/>
            </w:r>
            <w:r w:rsidR="004F0CD8">
              <w:rPr>
                <w:noProof/>
                <w:webHidden/>
              </w:rPr>
              <w:fldChar w:fldCharType="begin"/>
            </w:r>
            <w:r w:rsidR="004F0CD8">
              <w:rPr>
                <w:noProof/>
                <w:webHidden/>
              </w:rPr>
              <w:instrText xml:space="preserve"> PAGEREF _Toc229123627 \h </w:instrText>
            </w:r>
            <w:r w:rsidR="004F0CD8">
              <w:rPr>
                <w:noProof/>
                <w:webHidden/>
              </w:rPr>
            </w:r>
            <w:r w:rsidR="004F0CD8">
              <w:rPr>
                <w:noProof/>
                <w:webHidden/>
              </w:rPr>
              <w:fldChar w:fldCharType="separate"/>
            </w:r>
            <w:r w:rsidR="004F0CD8">
              <w:rPr>
                <w:noProof/>
                <w:webHidden/>
              </w:rPr>
              <w:t>16</w:t>
            </w:r>
            <w:r w:rsidR="004F0CD8">
              <w:rPr>
                <w:noProof/>
                <w:webHidden/>
              </w:rPr>
              <w:fldChar w:fldCharType="end"/>
            </w:r>
          </w:hyperlink>
        </w:p>
        <w:p w14:paraId="1ACD7662" w14:textId="362C5A13" w:rsidR="004F0CD8" w:rsidRDefault="00BD7148">
          <w:pPr>
            <w:pStyle w:val="TOC2"/>
            <w:tabs>
              <w:tab w:val="right" w:leader="dot" w:pos="9530"/>
            </w:tabs>
            <w:rPr>
              <w:rFonts w:asciiTheme="minorHAnsi" w:eastAsiaTheme="minorEastAsia" w:hAnsiTheme="minorHAnsi" w:cstheme="minorBidi"/>
              <w:noProof/>
            </w:rPr>
          </w:pPr>
          <w:hyperlink w:anchor="_Toc229123628" w:history="1">
            <w:r w:rsidR="004F0CD8" w:rsidRPr="002373AF">
              <w:rPr>
                <w:rStyle w:val="Hyperlink"/>
                <w:noProof/>
              </w:rPr>
              <w:t>Step 6: Delegated Entities</w:t>
            </w:r>
            <w:r w:rsidR="004F0CD8">
              <w:rPr>
                <w:noProof/>
                <w:webHidden/>
              </w:rPr>
              <w:tab/>
            </w:r>
            <w:r w:rsidR="004F0CD8">
              <w:rPr>
                <w:noProof/>
                <w:webHidden/>
              </w:rPr>
              <w:fldChar w:fldCharType="begin"/>
            </w:r>
            <w:r w:rsidR="004F0CD8">
              <w:rPr>
                <w:noProof/>
                <w:webHidden/>
              </w:rPr>
              <w:instrText xml:space="preserve"> PAGEREF _Toc229123628 \h </w:instrText>
            </w:r>
            <w:r w:rsidR="004F0CD8">
              <w:rPr>
                <w:noProof/>
                <w:webHidden/>
              </w:rPr>
            </w:r>
            <w:r w:rsidR="004F0CD8">
              <w:rPr>
                <w:noProof/>
                <w:webHidden/>
              </w:rPr>
              <w:fldChar w:fldCharType="separate"/>
            </w:r>
            <w:r w:rsidR="004F0CD8">
              <w:rPr>
                <w:noProof/>
                <w:webHidden/>
              </w:rPr>
              <w:t>18</w:t>
            </w:r>
            <w:r w:rsidR="004F0CD8">
              <w:rPr>
                <w:noProof/>
                <w:webHidden/>
              </w:rPr>
              <w:fldChar w:fldCharType="end"/>
            </w:r>
          </w:hyperlink>
        </w:p>
        <w:p w14:paraId="57434CEA" w14:textId="05E7EB22" w:rsidR="004F0CD8" w:rsidRDefault="00BD7148">
          <w:pPr>
            <w:pStyle w:val="TOC2"/>
            <w:tabs>
              <w:tab w:val="right" w:leader="dot" w:pos="9530"/>
            </w:tabs>
            <w:rPr>
              <w:rFonts w:asciiTheme="minorHAnsi" w:eastAsiaTheme="minorEastAsia" w:hAnsiTheme="minorHAnsi" w:cstheme="minorBidi"/>
              <w:noProof/>
            </w:rPr>
          </w:pPr>
          <w:hyperlink w:anchor="_Toc229123629" w:history="1">
            <w:r w:rsidR="004F0CD8" w:rsidRPr="002373AF">
              <w:rPr>
                <w:rStyle w:val="Hyperlink"/>
                <w:noProof/>
              </w:rPr>
              <w:t>Step 7: Specific Findings and Conclusions</w:t>
            </w:r>
            <w:r w:rsidR="004F0CD8">
              <w:rPr>
                <w:noProof/>
                <w:webHidden/>
              </w:rPr>
              <w:tab/>
            </w:r>
            <w:r w:rsidR="004F0CD8">
              <w:rPr>
                <w:noProof/>
                <w:webHidden/>
              </w:rPr>
              <w:fldChar w:fldCharType="begin"/>
            </w:r>
            <w:r w:rsidR="004F0CD8">
              <w:rPr>
                <w:noProof/>
                <w:webHidden/>
              </w:rPr>
              <w:instrText xml:space="preserve"> PAGEREF _Toc229123629 \h </w:instrText>
            </w:r>
            <w:r w:rsidR="004F0CD8">
              <w:rPr>
                <w:noProof/>
                <w:webHidden/>
              </w:rPr>
            </w:r>
            <w:r w:rsidR="004F0CD8">
              <w:rPr>
                <w:noProof/>
                <w:webHidden/>
              </w:rPr>
              <w:fldChar w:fldCharType="separate"/>
            </w:r>
            <w:r w:rsidR="004F0CD8">
              <w:rPr>
                <w:noProof/>
                <w:webHidden/>
              </w:rPr>
              <w:t>19</w:t>
            </w:r>
            <w:r w:rsidR="004F0CD8">
              <w:rPr>
                <w:noProof/>
                <w:webHidden/>
              </w:rPr>
              <w:fldChar w:fldCharType="end"/>
            </w:r>
          </w:hyperlink>
        </w:p>
        <w:p w14:paraId="4BEA9981" w14:textId="5F1E1821" w:rsidR="004F0CD8" w:rsidRDefault="00BD7148">
          <w:pPr>
            <w:pStyle w:val="TOC1"/>
            <w:tabs>
              <w:tab w:val="right" w:leader="dot" w:pos="9530"/>
            </w:tabs>
            <w:rPr>
              <w:rFonts w:asciiTheme="minorHAnsi" w:eastAsiaTheme="minorEastAsia" w:hAnsiTheme="minorHAnsi" w:cstheme="minorBidi"/>
              <w:noProof/>
            </w:rPr>
          </w:pPr>
          <w:hyperlink w:anchor="_Toc229123630" w:history="1">
            <w:r w:rsidR="004F0CD8" w:rsidRPr="008C09D5">
              <w:rPr>
                <w:rStyle w:val="Hyperlink"/>
                <w:noProof/>
              </w:rPr>
              <w:t>INSTRUCTIONS FOR NQTL DATA SUPPLEMENTS</w:t>
            </w:r>
            <w:r w:rsidR="004F0CD8">
              <w:rPr>
                <w:noProof/>
                <w:webHidden/>
              </w:rPr>
              <w:tab/>
            </w:r>
            <w:r w:rsidR="004F0CD8">
              <w:rPr>
                <w:noProof/>
                <w:webHidden/>
              </w:rPr>
              <w:fldChar w:fldCharType="begin"/>
            </w:r>
            <w:r w:rsidR="004F0CD8">
              <w:rPr>
                <w:noProof/>
                <w:webHidden/>
              </w:rPr>
              <w:instrText xml:space="preserve"> PAGEREF _Toc229123630 \h </w:instrText>
            </w:r>
            <w:r w:rsidR="004F0CD8">
              <w:rPr>
                <w:noProof/>
                <w:webHidden/>
              </w:rPr>
            </w:r>
            <w:r w:rsidR="004F0CD8">
              <w:rPr>
                <w:noProof/>
                <w:webHidden/>
              </w:rPr>
              <w:fldChar w:fldCharType="separate"/>
            </w:r>
            <w:r w:rsidR="004F0CD8">
              <w:rPr>
                <w:noProof/>
                <w:webHidden/>
              </w:rPr>
              <w:t>19</w:t>
            </w:r>
            <w:r w:rsidR="004F0CD8">
              <w:rPr>
                <w:noProof/>
                <w:webHidden/>
              </w:rPr>
              <w:fldChar w:fldCharType="end"/>
            </w:r>
          </w:hyperlink>
        </w:p>
        <w:p w14:paraId="020FC44E" w14:textId="22CBD592" w:rsidR="004F0CD8" w:rsidRDefault="00BD7148">
          <w:pPr>
            <w:pStyle w:val="TOC1"/>
            <w:tabs>
              <w:tab w:val="right" w:leader="dot" w:pos="9530"/>
            </w:tabs>
            <w:rPr>
              <w:rFonts w:asciiTheme="minorHAnsi" w:eastAsiaTheme="minorEastAsia" w:hAnsiTheme="minorHAnsi" w:cstheme="minorBidi"/>
              <w:noProof/>
            </w:rPr>
          </w:pPr>
          <w:hyperlink w:anchor="_Toc229123631" w:history="1">
            <w:r w:rsidR="004F0CD8" w:rsidRPr="008C09D5">
              <w:rPr>
                <w:rStyle w:val="Hyperlink"/>
                <w:noProof/>
              </w:rPr>
              <w:t>INSTRUCTIONS FOR SPECIFIC NQTLs</w:t>
            </w:r>
            <w:r w:rsidR="004F0CD8">
              <w:rPr>
                <w:noProof/>
                <w:webHidden/>
              </w:rPr>
              <w:tab/>
            </w:r>
            <w:r w:rsidR="004F0CD8">
              <w:rPr>
                <w:noProof/>
                <w:webHidden/>
              </w:rPr>
              <w:fldChar w:fldCharType="begin"/>
            </w:r>
            <w:r w:rsidR="004F0CD8">
              <w:rPr>
                <w:noProof/>
                <w:webHidden/>
              </w:rPr>
              <w:instrText xml:space="preserve"> PAGEREF _Toc229123631 \h </w:instrText>
            </w:r>
            <w:r w:rsidR="004F0CD8">
              <w:rPr>
                <w:noProof/>
                <w:webHidden/>
              </w:rPr>
            </w:r>
            <w:r w:rsidR="004F0CD8">
              <w:rPr>
                <w:noProof/>
                <w:webHidden/>
              </w:rPr>
              <w:fldChar w:fldCharType="separate"/>
            </w:r>
            <w:r w:rsidR="004F0CD8">
              <w:rPr>
                <w:noProof/>
                <w:webHidden/>
              </w:rPr>
              <w:t>20</w:t>
            </w:r>
            <w:r w:rsidR="004F0CD8">
              <w:rPr>
                <w:noProof/>
                <w:webHidden/>
              </w:rPr>
              <w:fldChar w:fldCharType="end"/>
            </w:r>
          </w:hyperlink>
        </w:p>
        <w:p w14:paraId="26F93933" w14:textId="0C631D2F" w:rsidR="004F0CD8" w:rsidRDefault="00BD7148" w:rsidP="004E6C6F">
          <w:pPr>
            <w:pStyle w:val="TOC1"/>
            <w:tabs>
              <w:tab w:val="right" w:leader="dot" w:pos="9530"/>
            </w:tabs>
          </w:pPr>
          <w:hyperlink w:anchor="_Toc229123632" w:history="1">
            <w:r w:rsidR="004F0CD8" w:rsidRPr="008C09D5">
              <w:rPr>
                <w:rStyle w:val="Hyperlink"/>
                <w:noProof/>
              </w:rPr>
              <w:t>DISCLOSURE REQUIREMENT CHECKLISTS</w:t>
            </w:r>
            <w:r w:rsidR="004F0CD8">
              <w:rPr>
                <w:noProof/>
                <w:webHidden/>
              </w:rPr>
              <w:tab/>
            </w:r>
            <w:r w:rsidR="004F0CD8">
              <w:rPr>
                <w:noProof/>
                <w:webHidden/>
              </w:rPr>
              <w:fldChar w:fldCharType="begin"/>
            </w:r>
            <w:r w:rsidR="004F0CD8">
              <w:rPr>
                <w:noProof/>
                <w:webHidden/>
              </w:rPr>
              <w:instrText xml:space="preserve"> PAGEREF _Toc229123632 \h </w:instrText>
            </w:r>
            <w:r w:rsidR="004F0CD8">
              <w:rPr>
                <w:noProof/>
                <w:webHidden/>
              </w:rPr>
            </w:r>
            <w:r w:rsidR="004F0CD8">
              <w:rPr>
                <w:noProof/>
                <w:webHidden/>
              </w:rPr>
              <w:fldChar w:fldCharType="separate"/>
            </w:r>
            <w:r w:rsidR="004F0CD8">
              <w:rPr>
                <w:noProof/>
                <w:webHidden/>
              </w:rPr>
              <w:t>26</w:t>
            </w:r>
            <w:r w:rsidR="004F0CD8">
              <w:rPr>
                <w:noProof/>
                <w:webHidden/>
              </w:rPr>
              <w:fldChar w:fldCharType="end"/>
            </w:r>
          </w:hyperlink>
          <w:r w:rsidR="004F0CD8">
            <w:rPr>
              <w:b/>
              <w:bCs/>
              <w:noProof/>
            </w:rPr>
            <w:fldChar w:fldCharType="end"/>
          </w:r>
        </w:p>
      </w:sdtContent>
    </w:sdt>
    <w:p w14:paraId="3F5D1B34" w14:textId="77777777" w:rsidR="00DB10C0" w:rsidRDefault="00DB10C0">
      <w:pPr>
        <w:pStyle w:val="Heading1"/>
        <w:ind w:left="0" w:firstLine="0"/>
        <w:jc w:val="center"/>
      </w:pPr>
    </w:p>
    <w:p w14:paraId="71E95EF9" w14:textId="77777777" w:rsidR="00DB10C0" w:rsidRPr="00801CF6" w:rsidRDefault="00DB10C0">
      <w:pPr>
        <w:ind w:left="0" w:firstLine="0"/>
        <w:jc w:val="center"/>
        <w:rPr>
          <w:rFonts w:ascii="Times New Roman" w:eastAsia="Times New Roman" w:hAnsi="Times New Roman" w:cs="Times New Roman"/>
          <w:b/>
          <w:sz w:val="24"/>
          <w:szCs w:val="24"/>
        </w:rPr>
      </w:pPr>
    </w:p>
    <w:p w14:paraId="20ED626E" w14:textId="77777777" w:rsidR="00DB10C0" w:rsidRPr="00801CF6" w:rsidRDefault="00DB10C0">
      <w:pPr>
        <w:ind w:left="0" w:firstLine="0"/>
        <w:jc w:val="center"/>
        <w:rPr>
          <w:rFonts w:ascii="Times New Roman" w:eastAsia="Times New Roman" w:hAnsi="Times New Roman" w:cs="Times New Roman"/>
          <w:b/>
          <w:sz w:val="24"/>
          <w:szCs w:val="24"/>
        </w:rPr>
      </w:pPr>
    </w:p>
    <w:p w14:paraId="7BCCEEB4" w14:textId="42385A60" w:rsidR="004F0CD8" w:rsidRDefault="004F0CD8">
      <w:pPr>
        <w:ind w:left="0" w:firstLine="0"/>
        <w:jc w:val="center"/>
        <w:rPr>
          <w:rFonts w:ascii="Times New Roman" w:eastAsia="Times New Roman" w:hAnsi="Times New Roman" w:cs="Times New Roman"/>
          <w:b/>
          <w:sz w:val="24"/>
          <w:szCs w:val="24"/>
        </w:rPr>
      </w:pPr>
    </w:p>
    <w:p w14:paraId="06EFF3BD" w14:textId="77777777" w:rsidR="004F0CD8" w:rsidRPr="00801CF6" w:rsidRDefault="004F0CD8" w:rsidP="004F0CD8">
      <w:pPr>
        <w:ind w:left="0" w:firstLine="0"/>
        <w:jc w:val="left"/>
        <w:rPr>
          <w:rFonts w:ascii="Times New Roman" w:eastAsia="Times New Roman" w:hAnsi="Times New Roman" w:cs="Times New Roman"/>
          <w:b/>
          <w:sz w:val="24"/>
          <w:szCs w:val="24"/>
        </w:rPr>
      </w:pPr>
    </w:p>
    <w:p w14:paraId="1CC3A1CD" w14:textId="77777777" w:rsidR="00F9166A" w:rsidRPr="00801CF6" w:rsidRDefault="00F9166A">
      <w:pPr>
        <w:rPr>
          <w:rFonts w:ascii="Times New Roman" w:eastAsia="Times New Roman" w:hAnsi="Times New Roman" w:cs="Times New Roman"/>
          <w:b/>
          <w:sz w:val="24"/>
          <w:szCs w:val="24"/>
        </w:rPr>
      </w:pPr>
      <w:bookmarkStart w:id="2" w:name="_30j0zll" w:colFirst="0" w:colLast="0"/>
      <w:bookmarkEnd w:id="2"/>
      <w:r w:rsidRPr="00801CF6">
        <w:rPr>
          <w:rFonts w:ascii="Times New Roman" w:hAnsi="Times New Roman" w:cs="Times New Roman"/>
          <w:sz w:val="24"/>
          <w:szCs w:val="24"/>
        </w:rPr>
        <w:br w:type="page"/>
      </w:r>
    </w:p>
    <w:p w14:paraId="182306C6" w14:textId="15950832" w:rsidR="00DB10C0" w:rsidRPr="004F0CD8" w:rsidRDefault="00AB12BC" w:rsidP="002373AF">
      <w:pPr>
        <w:pStyle w:val="Heading1"/>
        <w:jc w:val="center"/>
      </w:pPr>
      <w:bookmarkStart w:id="3" w:name="_Toc229123335"/>
      <w:bookmarkStart w:id="4" w:name="_Toc229123613"/>
      <w:r w:rsidRPr="004F0CD8">
        <w:lastRenderedPageBreak/>
        <w:t>INTRODUCTION</w:t>
      </w:r>
      <w:bookmarkEnd w:id="3"/>
      <w:bookmarkEnd w:id="4"/>
    </w:p>
    <w:p w14:paraId="3A92DE6D" w14:textId="3C3953A4" w:rsidR="00115F6B" w:rsidRDefault="00FC1D58" w:rsidP="00582AE7">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Every two years each carrier subject to § 15-144, Insurance Article, Annotated Code of Maryland</w:t>
      </w:r>
      <w:r w:rsidR="00671F10" w:rsidRPr="00801CF6">
        <w:rPr>
          <w:rFonts w:ascii="Times New Roman" w:eastAsia="Times New Roman" w:hAnsi="Times New Roman" w:cs="Times New Roman"/>
          <w:sz w:val="24"/>
          <w:szCs w:val="24"/>
        </w:rPr>
        <w:t>,</w:t>
      </w:r>
      <w:r w:rsidR="0050619F" w:rsidRPr="00801CF6">
        <w:rPr>
          <w:rStyle w:val="FootnoteReference"/>
          <w:rFonts w:ascii="Times New Roman" w:eastAsia="Times New Roman" w:hAnsi="Times New Roman" w:cs="Times New Roman"/>
          <w:sz w:val="24"/>
          <w:szCs w:val="24"/>
        </w:rPr>
        <w:footnoteReference w:id="1"/>
      </w:r>
      <w:r w:rsidRPr="00801CF6">
        <w:rPr>
          <w:rFonts w:ascii="Times New Roman" w:eastAsia="Times New Roman" w:hAnsi="Times New Roman" w:cs="Times New Roman"/>
          <w:sz w:val="24"/>
          <w:szCs w:val="24"/>
        </w:rPr>
        <w:t xml:space="preserve"> must submit an analysis report to the Maryland Insurance Administration (MIA) on each product offered by the carrier in the individual, small, and large group markets to demonstrate compliance</w:t>
      </w:r>
      <w:r w:rsidR="0050619F" w:rsidRPr="00801CF6">
        <w:rPr>
          <w:rFonts w:ascii="Times New Roman" w:eastAsia="Times New Roman" w:hAnsi="Times New Roman" w:cs="Times New Roman"/>
          <w:sz w:val="24"/>
          <w:szCs w:val="24"/>
        </w:rPr>
        <w:t xml:space="preserve"> with the </w:t>
      </w:r>
      <w:r w:rsidR="002B4EF9" w:rsidRPr="00801CF6">
        <w:rPr>
          <w:rFonts w:ascii="Times New Roman" w:eastAsia="Times New Roman" w:hAnsi="Times New Roman" w:cs="Times New Roman"/>
          <w:sz w:val="24"/>
          <w:szCs w:val="24"/>
        </w:rPr>
        <w:t>Parity Act</w:t>
      </w:r>
      <w:r w:rsidRPr="00801CF6">
        <w:rPr>
          <w:rFonts w:ascii="Times New Roman" w:eastAsia="Times New Roman" w:hAnsi="Times New Roman" w:cs="Times New Roman"/>
          <w:sz w:val="24"/>
          <w:szCs w:val="24"/>
        </w:rPr>
        <w:t>.</w:t>
      </w:r>
      <w:r w:rsidR="006E7A3E" w:rsidRPr="00801CF6">
        <w:rPr>
          <w:rStyle w:val="FootnoteReference"/>
          <w:rFonts w:ascii="Times New Roman" w:eastAsia="Times New Roman" w:hAnsi="Times New Roman" w:cs="Times New Roman"/>
          <w:sz w:val="24"/>
          <w:szCs w:val="24"/>
        </w:rPr>
        <w:footnoteReference w:id="2"/>
      </w:r>
      <w:r w:rsidR="0050619F" w:rsidRPr="00801CF6">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rPr>
        <w:t>Analysis reports are completed at the product level</w:t>
      </w:r>
      <w:r w:rsidR="00444EA7">
        <w:rPr>
          <w:rFonts w:ascii="Times New Roman" w:eastAsia="Times New Roman" w:hAnsi="Times New Roman" w:cs="Times New Roman"/>
          <w:sz w:val="24"/>
          <w:szCs w:val="24"/>
        </w:rPr>
        <w:t>,</w:t>
      </w:r>
      <w:r w:rsidR="00115F6B">
        <w:rPr>
          <w:rStyle w:val="FootnoteReference"/>
          <w:rFonts w:ascii="Times New Roman" w:eastAsia="Times New Roman" w:hAnsi="Times New Roman" w:cs="Times New Roman"/>
          <w:sz w:val="24"/>
          <w:szCs w:val="24"/>
        </w:rPr>
        <w:footnoteReference w:id="3"/>
      </w:r>
      <w:r w:rsidR="00444EA7">
        <w:rPr>
          <w:rFonts w:ascii="Times New Roman" w:eastAsia="Times New Roman" w:hAnsi="Times New Roman" w:cs="Times New Roman"/>
          <w:sz w:val="24"/>
          <w:szCs w:val="24"/>
        </w:rPr>
        <w:t xml:space="preserve"> </w:t>
      </w:r>
      <w:r w:rsidR="00444EA7" w:rsidRPr="00444EA7">
        <w:rPr>
          <w:rFonts w:ascii="Times New Roman" w:eastAsia="Times New Roman" w:hAnsi="Times New Roman" w:cs="Times New Roman"/>
          <w:sz w:val="24"/>
          <w:szCs w:val="24"/>
        </w:rPr>
        <w:t>except that an additional separate data supplement must be submitted for any plan within the product for which a separate NQTL report is required to be submitted under § 15-144(c)(4)</w:t>
      </w:r>
      <w:r w:rsidRPr="00801CF6">
        <w:rPr>
          <w:rFonts w:ascii="Times New Roman" w:eastAsia="Times New Roman" w:hAnsi="Times New Roman" w:cs="Times New Roman"/>
          <w:sz w:val="24"/>
          <w:szCs w:val="24"/>
        </w:rPr>
        <w:t xml:space="preserve">. </w:t>
      </w:r>
    </w:p>
    <w:p w14:paraId="41A1C1DA" w14:textId="3C7B6F17" w:rsidR="00582AE7" w:rsidRPr="00801CF6" w:rsidRDefault="00582AE7" w:rsidP="00582AE7">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The report must be accompanied by an attestation of compliance, signed by a corporate officer.</w:t>
      </w:r>
      <w:r w:rsidR="007C6F44">
        <w:rPr>
          <w:rStyle w:val="FootnoteReference"/>
          <w:rFonts w:ascii="Times New Roman" w:eastAsia="Times New Roman" w:hAnsi="Times New Roman" w:cs="Times New Roman"/>
          <w:sz w:val="24"/>
          <w:szCs w:val="24"/>
        </w:rPr>
        <w:footnoteReference w:id="4"/>
      </w:r>
    </w:p>
    <w:p w14:paraId="4C6D04EB" w14:textId="2F23D680" w:rsidR="00FC1D58" w:rsidRPr="00801CF6" w:rsidRDefault="000067CB" w:rsidP="00FC1D58">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E</w:t>
      </w:r>
      <w:r w:rsidR="00FC1D58" w:rsidRPr="00801CF6">
        <w:rPr>
          <w:rFonts w:ascii="Times New Roman" w:eastAsia="Times New Roman" w:hAnsi="Times New Roman" w:cs="Times New Roman"/>
          <w:sz w:val="24"/>
          <w:szCs w:val="24"/>
        </w:rPr>
        <w:t>ach carrier must perform and document comparative analys</w:t>
      </w:r>
      <w:r w:rsidR="00EA1B7A">
        <w:rPr>
          <w:rFonts w:ascii="Times New Roman" w:eastAsia="Times New Roman" w:hAnsi="Times New Roman" w:cs="Times New Roman"/>
          <w:sz w:val="24"/>
          <w:szCs w:val="24"/>
        </w:rPr>
        <w:t>e</w:t>
      </w:r>
      <w:r w:rsidR="00FC1D58" w:rsidRPr="00801CF6">
        <w:rPr>
          <w:rFonts w:ascii="Times New Roman" w:eastAsia="Times New Roman" w:hAnsi="Times New Roman" w:cs="Times New Roman"/>
          <w:sz w:val="24"/>
          <w:szCs w:val="24"/>
        </w:rPr>
        <w:t>s of the design and application of all nonquantitative treatment limitations (NQTLs) imposed on benefits for mental health (MH) and substance use disorder (SUD) benefits</w:t>
      </w:r>
      <w:r w:rsidR="00481ABF">
        <w:rPr>
          <w:rFonts w:ascii="Times New Roman" w:eastAsia="Times New Roman" w:hAnsi="Times New Roman" w:cs="Times New Roman"/>
          <w:sz w:val="24"/>
          <w:szCs w:val="24"/>
        </w:rPr>
        <w:t>,</w:t>
      </w:r>
      <w:r w:rsidR="001A5835" w:rsidRPr="00801CF6">
        <w:rPr>
          <w:rFonts w:ascii="Times New Roman" w:eastAsia="Times New Roman" w:hAnsi="Times New Roman" w:cs="Times New Roman"/>
          <w:sz w:val="24"/>
          <w:szCs w:val="24"/>
        </w:rPr>
        <w:t xml:space="preserve"> in accordance with § 15-144(c)-(</w:t>
      </w:r>
      <w:r w:rsidR="00B732AC">
        <w:rPr>
          <w:rFonts w:ascii="Times New Roman" w:eastAsia="Times New Roman" w:hAnsi="Times New Roman" w:cs="Times New Roman"/>
          <w:sz w:val="24"/>
          <w:szCs w:val="24"/>
        </w:rPr>
        <w:t>e</w:t>
      </w:r>
      <w:r w:rsidR="001A5835" w:rsidRPr="00801CF6">
        <w:rPr>
          <w:rFonts w:ascii="Times New Roman" w:eastAsia="Times New Roman" w:hAnsi="Times New Roman" w:cs="Times New Roman"/>
          <w:sz w:val="24"/>
          <w:szCs w:val="24"/>
        </w:rPr>
        <w:t>)</w:t>
      </w:r>
      <w:r w:rsidR="00FC1D58" w:rsidRPr="00801CF6">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rPr>
        <w:t xml:space="preserve">The </w:t>
      </w:r>
      <w:r w:rsidR="00FC1D58" w:rsidRPr="00801CF6">
        <w:rPr>
          <w:rFonts w:ascii="Times New Roman" w:eastAsia="Times New Roman" w:hAnsi="Times New Roman" w:cs="Times New Roman"/>
          <w:sz w:val="24"/>
          <w:szCs w:val="24"/>
        </w:rPr>
        <w:t>biannual analysis report for the 2026 reporting period must include the results of a comparative analysis of the</w:t>
      </w:r>
      <w:r w:rsidR="008F2075" w:rsidRPr="00801CF6">
        <w:rPr>
          <w:rFonts w:ascii="Times New Roman" w:eastAsia="Times New Roman" w:hAnsi="Times New Roman" w:cs="Times New Roman"/>
          <w:sz w:val="24"/>
          <w:szCs w:val="24"/>
        </w:rPr>
        <w:t xml:space="preserve"> five</w:t>
      </w:r>
      <w:r w:rsidR="00FC1D58" w:rsidRPr="00801CF6">
        <w:rPr>
          <w:rFonts w:ascii="Times New Roman" w:eastAsia="Times New Roman" w:hAnsi="Times New Roman" w:cs="Times New Roman"/>
          <w:sz w:val="24"/>
          <w:szCs w:val="24"/>
        </w:rPr>
        <w:t xml:space="preserve"> NQTLs selected by the Commissioner (see</w:t>
      </w:r>
      <w:r w:rsidR="00EA1B7A">
        <w:rPr>
          <w:rFonts w:ascii="Times New Roman" w:eastAsia="Times New Roman" w:hAnsi="Times New Roman" w:cs="Times New Roman"/>
          <w:sz w:val="24"/>
          <w:szCs w:val="24"/>
        </w:rPr>
        <w:t xml:space="preserve"> </w:t>
      </w:r>
      <w:r w:rsidR="008313AC">
        <w:rPr>
          <w:rFonts w:ascii="Times New Roman" w:eastAsia="Times New Roman" w:hAnsi="Times New Roman" w:cs="Times New Roman"/>
          <w:sz w:val="24"/>
          <w:szCs w:val="24"/>
        </w:rPr>
        <w:t>“</w:t>
      </w:r>
      <w:r w:rsidR="00EA1B7A">
        <w:rPr>
          <w:rFonts w:ascii="Times New Roman" w:eastAsia="Times New Roman" w:hAnsi="Times New Roman" w:cs="Times New Roman"/>
          <w:sz w:val="24"/>
          <w:szCs w:val="24"/>
        </w:rPr>
        <w:t>NQTLs for 2026,</w:t>
      </w:r>
      <w:r w:rsidR="008313AC">
        <w:rPr>
          <w:rFonts w:ascii="Times New Roman" w:eastAsia="Times New Roman" w:hAnsi="Times New Roman" w:cs="Times New Roman"/>
          <w:sz w:val="24"/>
          <w:szCs w:val="24"/>
        </w:rPr>
        <w:t>”</w:t>
      </w:r>
      <w:r w:rsidR="00FC1D58" w:rsidRPr="00801CF6">
        <w:rPr>
          <w:rFonts w:ascii="Times New Roman" w:eastAsia="Times New Roman" w:hAnsi="Times New Roman" w:cs="Times New Roman"/>
          <w:sz w:val="24"/>
          <w:szCs w:val="24"/>
        </w:rPr>
        <w:t xml:space="preserve"> below)</w:t>
      </w:r>
      <w:r w:rsidR="00DE41B4" w:rsidRPr="00801CF6">
        <w:rPr>
          <w:rFonts w:ascii="Times New Roman" w:eastAsia="Times New Roman" w:hAnsi="Times New Roman" w:cs="Times New Roman"/>
          <w:sz w:val="24"/>
          <w:szCs w:val="24"/>
        </w:rPr>
        <w:t>.</w:t>
      </w:r>
      <w:r w:rsidR="000014AE" w:rsidRPr="00801CF6">
        <w:rPr>
          <w:rFonts w:ascii="Times New Roman" w:eastAsia="Times New Roman" w:hAnsi="Times New Roman" w:cs="Times New Roman"/>
          <w:sz w:val="24"/>
          <w:szCs w:val="24"/>
        </w:rPr>
        <w:t xml:space="preserve"> </w:t>
      </w:r>
      <w:r w:rsidR="00CB5A68" w:rsidRPr="00801CF6">
        <w:rPr>
          <w:rFonts w:ascii="Times New Roman" w:eastAsia="Times New Roman" w:hAnsi="Times New Roman" w:cs="Times New Roman"/>
          <w:sz w:val="24"/>
          <w:szCs w:val="24"/>
        </w:rPr>
        <w:t xml:space="preserve">A comparative analysis must comply with the Parity Act, its regulations, and </w:t>
      </w:r>
      <w:r w:rsidR="005D173E">
        <w:rPr>
          <w:rFonts w:ascii="Times New Roman" w:eastAsia="Times New Roman" w:hAnsi="Times New Roman" w:cs="Times New Roman"/>
          <w:sz w:val="24"/>
          <w:szCs w:val="24"/>
        </w:rPr>
        <w:t>all</w:t>
      </w:r>
      <w:r w:rsidR="00CB5A68" w:rsidRPr="00801CF6">
        <w:rPr>
          <w:rFonts w:ascii="Times New Roman" w:eastAsia="Times New Roman" w:hAnsi="Times New Roman" w:cs="Times New Roman"/>
          <w:sz w:val="24"/>
          <w:szCs w:val="24"/>
        </w:rPr>
        <w:t xml:space="preserve"> instructions and must be reported using the </w:t>
      </w:r>
      <w:r w:rsidR="001A5835" w:rsidRPr="00801CF6">
        <w:rPr>
          <w:rFonts w:ascii="Times New Roman" w:eastAsia="Times New Roman" w:hAnsi="Times New Roman" w:cs="Times New Roman"/>
          <w:sz w:val="24"/>
          <w:szCs w:val="24"/>
        </w:rPr>
        <w:t xml:space="preserve">standardized </w:t>
      </w:r>
      <w:r w:rsidR="000014AE" w:rsidRPr="00801CF6">
        <w:rPr>
          <w:rFonts w:ascii="Times New Roman" w:eastAsia="Times New Roman" w:hAnsi="Times New Roman" w:cs="Times New Roman"/>
          <w:sz w:val="24"/>
          <w:szCs w:val="24"/>
        </w:rPr>
        <w:t>templates</w:t>
      </w:r>
      <w:r w:rsidR="008F2075" w:rsidRPr="00801CF6">
        <w:rPr>
          <w:rFonts w:ascii="Times New Roman" w:eastAsia="Times New Roman" w:hAnsi="Times New Roman" w:cs="Times New Roman"/>
          <w:sz w:val="24"/>
          <w:szCs w:val="24"/>
        </w:rPr>
        <w:t xml:space="preserve"> </w:t>
      </w:r>
      <w:r w:rsidR="00832403" w:rsidRPr="00EA1B7A">
        <w:rPr>
          <w:rFonts w:ascii="Times New Roman" w:eastAsia="Times New Roman" w:hAnsi="Times New Roman" w:cs="Times New Roman"/>
          <w:sz w:val="24"/>
          <w:szCs w:val="24"/>
        </w:rPr>
        <w:t>embedded</w:t>
      </w:r>
      <w:r w:rsidR="00832403" w:rsidRPr="00801CF6">
        <w:rPr>
          <w:rFonts w:ascii="Times New Roman" w:eastAsia="Times New Roman" w:hAnsi="Times New Roman" w:cs="Times New Roman"/>
          <w:sz w:val="24"/>
          <w:szCs w:val="24"/>
        </w:rPr>
        <w:t xml:space="preserve"> in this document</w:t>
      </w:r>
      <w:r w:rsidR="00EA1B7A">
        <w:rPr>
          <w:rFonts w:ascii="Times New Roman" w:eastAsia="Times New Roman" w:hAnsi="Times New Roman" w:cs="Times New Roman"/>
          <w:sz w:val="24"/>
          <w:szCs w:val="24"/>
        </w:rPr>
        <w:t xml:space="preserve"> (see </w:t>
      </w:r>
      <w:r w:rsidR="008313AC">
        <w:rPr>
          <w:rFonts w:ascii="Times New Roman" w:eastAsia="Times New Roman" w:hAnsi="Times New Roman" w:cs="Times New Roman"/>
          <w:sz w:val="24"/>
          <w:szCs w:val="24"/>
        </w:rPr>
        <w:t>“</w:t>
      </w:r>
      <w:r w:rsidR="00EA1B7A">
        <w:rPr>
          <w:rFonts w:ascii="Times New Roman" w:eastAsia="Times New Roman" w:hAnsi="Times New Roman" w:cs="Times New Roman"/>
          <w:sz w:val="24"/>
          <w:szCs w:val="24"/>
        </w:rPr>
        <w:t>Templates for 2026,</w:t>
      </w:r>
      <w:r w:rsidR="008313AC">
        <w:rPr>
          <w:rFonts w:ascii="Times New Roman" w:eastAsia="Times New Roman" w:hAnsi="Times New Roman" w:cs="Times New Roman"/>
          <w:sz w:val="24"/>
          <w:szCs w:val="24"/>
        </w:rPr>
        <w:t>”</w:t>
      </w:r>
      <w:r w:rsidR="00EA1B7A">
        <w:rPr>
          <w:rFonts w:ascii="Times New Roman" w:eastAsia="Times New Roman" w:hAnsi="Times New Roman" w:cs="Times New Roman"/>
          <w:sz w:val="24"/>
          <w:szCs w:val="24"/>
        </w:rPr>
        <w:t xml:space="preserve"> below).</w:t>
      </w:r>
      <w:r w:rsidR="00F86927" w:rsidRPr="00801CF6">
        <w:rPr>
          <w:rFonts w:ascii="Times New Roman" w:eastAsia="Times New Roman" w:hAnsi="Times New Roman" w:cs="Times New Roman"/>
          <w:sz w:val="24"/>
          <w:szCs w:val="24"/>
        </w:rPr>
        <w:t xml:space="preserve"> </w:t>
      </w:r>
      <w:r w:rsidR="00EA1B7A" w:rsidRPr="00801CF6">
        <w:rPr>
          <w:rFonts w:ascii="Times New Roman" w:eastAsia="Times New Roman" w:hAnsi="Times New Roman" w:cs="Times New Roman"/>
          <w:sz w:val="24"/>
          <w:szCs w:val="24"/>
        </w:rPr>
        <w:t>The templates and the instructions have been updated for the 2026 reporting period.</w:t>
      </w:r>
    </w:p>
    <w:p w14:paraId="38F72404" w14:textId="1A2C856A" w:rsidR="00FC1D58" w:rsidRPr="00801CF6" w:rsidRDefault="00697FF8" w:rsidP="00FC1D58">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N</w:t>
      </w:r>
      <w:r w:rsidR="00FC1D58" w:rsidRPr="00801CF6">
        <w:rPr>
          <w:rFonts w:ascii="Times New Roman" w:eastAsia="Times New Roman" w:hAnsi="Times New Roman" w:cs="Times New Roman"/>
          <w:sz w:val="24"/>
          <w:szCs w:val="24"/>
        </w:rPr>
        <w:t xml:space="preserve">o later than 30 days after the due date of the analysis report, a carrier must make available to plan members and the public a summary form using the instructions </w:t>
      </w:r>
      <w:r w:rsidR="00787D48">
        <w:rPr>
          <w:rFonts w:ascii="Times New Roman" w:eastAsia="Times New Roman" w:hAnsi="Times New Roman" w:cs="Times New Roman"/>
          <w:sz w:val="24"/>
          <w:szCs w:val="24"/>
        </w:rPr>
        <w:t xml:space="preserve">provided by the MIA. </w:t>
      </w:r>
      <w:r w:rsidR="00FC1D58" w:rsidRPr="00801CF6">
        <w:rPr>
          <w:rFonts w:ascii="Times New Roman" w:eastAsia="Times New Roman" w:hAnsi="Times New Roman" w:cs="Times New Roman"/>
          <w:sz w:val="24"/>
          <w:szCs w:val="24"/>
        </w:rPr>
        <w:t xml:space="preserve">A carrier must provide the full comparative analysis to a member within 30 days of a written request and make the summary form available to plan members within 30 days of a written request. </w:t>
      </w:r>
      <w:r w:rsidR="00DC4739">
        <w:rPr>
          <w:rFonts w:ascii="Times New Roman" w:eastAsia="Times New Roman" w:hAnsi="Times New Roman" w:cs="Times New Roman"/>
          <w:sz w:val="24"/>
          <w:szCs w:val="24"/>
        </w:rPr>
        <w:t xml:space="preserve">The form for carriers to use for their summary is posted on the </w:t>
      </w:r>
      <w:hyperlink r:id="rId10" w:history="1">
        <w:r w:rsidR="00DC4739" w:rsidRPr="004E667C">
          <w:rPr>
            <w:rStyle w:val="Hyperlink"/>
            <w:rFonts w:ascii="Times New Roman" w:eastAsia="Times New Roman" w:hAnsi="Times New Roman" w:cs="Times New Roman"/>
            <w:sz w:val="24"/>
            <w:szCs w:val="24"/>
          </w:rPr>
          <w:t>MIA website</w:t>
        </w:r>
      </w:hyperlink>
      <w:r w:rsidR="00787D48">
        <w:rPr>
          <w:rFonts w:ascii="Times New Roman" w:eastAsia="Times New Roman" w:hAnsi="Times New Roman" w:cs="Times New Roman"/>
          <w:sz w:val="24"/>
          <w:szCs w:val="24"/>
        </w:rPr>
        <w:t>, under the heading Mental Health and Substance Use Disorder NQTL Reports.</w:t>
      </w:r>
    </w:p>
    <w:p w14:paraId="302DBD03" w14:textId="52C43B89" w:rsidR="00DE41B4" w:rsidRPr="00801CF6" w:rsidRDefault="002A3588" w:rsidP="00FC1D5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Carriers are expected to</w:t>
      </w:r>
      <w:r w:rsidR="00DC4739">
        <w:rPr>
          <w:rFonts w:ascii="Times New Roman" w:eastAsia="Times New Roman" w:hAnsi="Times New Roman" w:cs="Times New Roman"/>
          <w:sz w:val="24"/>
          <w:szCs w:val="24"/>
        </w:rPr>
        <w:t xml:space="preserve"> use the </w:t>
      </w:r>
      <w:r w:rsidR="008F2075" w:rsidRPr="00801CF6">
        <w:rPr>
          <w:rFonts w:ascii="Times New Roman" w:eastAsia="Times New Roman" w:hAnsi="Times New Roman" w:cs="Times New Roman"/>
          <w:sz w:val="24"/>
          <w:szCs w:val="24"/>
        </w:rPr>
        <w:t>general guidance for performing and documenting comparative analyses for all NQTLs</w:t>
      </w:r>
      <w:r w:rsidR="00DC4739">
        <w:rPr>
          <w:rFonts w:ascii="Times New Roman" w:eastAsia="Times New Roman" w:hAnsi="Times New Roman" w:cs="Times New Roman"/>
          <w:sz w:val="24"/>
          <w:szCs w:val="24"/>
        </w:rPr>
        <w:t xml:space="preserve"> and the</w:t>
      </w:r>
      <w:r w:rsidR="008F2075" w:rsidRPr="00801CF6">
        <w:rPr>
          <w:rFonts w:ascii="Times New Roman" w:eastAsia="Times New Roman" w:hAnsi="Times New Roman" w:cs="Times New Roman"/>
          <w:sz w:val="24"/>
          <w:szCs w:val="24"/>
        </w:rPr>
        <w:t xml:space="preserve"> specific guidance related to the</w:t>
      </w:r>
      <w:r w:rsidR="00DE41B4" w:rsidRPr="00801CF6">
        <w:rPr>
          <w:rFonts w:ascii="Times New Roman" w:eastAsia="Times New Roman" w:hAnsi="Times New Roman" w:cs="Times New Roman"/>
          <w:sz w:val="24"/>
          <w:szCs w:val="24"/>
        </w:rPr>
        <w:t xml:space="preserve"> five NQTLs selected by the Commissioner: </w:t>
      </w:r>
      <w:r w:rsidR="001A5835" w:rsidRPr="00801CF6">
        <w:rPr>
          <w:rFonts w:ascii="Times New Roman" w:eastAsia="Times New Roman" w:hAnsi="Times New Roman" w:cs="Times New Roman"/>
          <w:sz w:val="24"/>
          <w:szCs w:val="24"/>
        </w:rPr>
        <w:t xml:space="preserve"> </w:t>
      </w:r>
    </w:p>
    <w:p w14:paraId="6ADF181D" w14:textId="0C4F0673" w:rsidR="001365F5" w:rsidRPr="00801CF6" w:rsidRDefault="00F2695B" w:rsidP="006277DC">
      <w:pPr>
        <w:pStyle w:val="ListParagraph"/>
        <w:numPr>
          <w:ilvl w:val="0"/>
          <w:numId w:val="28"/>
        </w:numPr>
        <w:spacing w:line="259" w:lineRule="auto"/>
        <w:jc w:val="left"/>
        <w:rPr>
          <w:rFonts w:ascii="Times New Roman" w:hAnsi="Times New Roman" w:cs="Times New Roman"/>
          <w:sz w:val="24"/>
          <w:szCs w:val="24"/>
        </w:rPr>
      </w:pPr>
      <w:r w:rsidRPr="00801CF6">
        <w:rPr>
          <w:rFonts w:ascii="Times New Roman" w:hAnsi="Times New Roman" w:cs="Times New Roman"/>
          <w:sz w:val="24"/>
          <w:szCs w:val="24"/>
        </w:rPr>
        <w:t xml:space="preserve">Instructions for the </w:t>
      </w:r>
      <w:r w:rsidR="001365F5" w:rsidRPr="00801CF6">
        <w:rPr>
          <w:rFonts w:ascii="Times New Roman" w:hAnsi="Times New Roman" w:cs="Times New Roman"/>
          <w:sz w:val="24"/>
          <w:szCs w:val="24"/>
        </w:rPr>
        <w:t>Seven Step</w:t>
      </w:r>
      <w:r w:rsidRPr="00801CF6">
        <w:rPr>
          <w:rFonts w:ascii="Times New Roman" w:hAnsi="Times New Roman" w:cs="Times New Roman"/>
          <w:sz w:val="24"/>
          <w:szCs w:val="24"/>
        </w:rPr>
        <w:t xml:space="preserve"> Analysis</w:t>
      </w:r>
      <w:r w:rsidR="00877034" w:rsidRPr="00801CF6">
        <w:rPr>
          <w:rFonts w:ascii="Times New Roman" w:hAnsi="Times New Roman" w:cs="Times New Roman"/>
          <w:sz w:val="24"/>
          <w:szCs w:val="24"/>
        </w:rPr>
        <w:t>, which applies to all</w:t>
      </w:r>
      <w:r w:rsidRPr="00801CF6">
        <w:rPr>
          <w:rFonts w:ascii="Times New Roman" w:hAnsi="Times New Roman" w:cs="Times New Roman"/>
          <w:sz w:val="24"/>
          <w:szCs w:val="24"/>
        </w:rPr>
        <w:t xml:space="preserve"> NQTL</w:t>
      </w:r>
      <w:r w:rsidR="00877034" w:rsidRPr="00801CF6">
        <w:rPr>
          <w:rFonts w:ascii="Times New Roman" w:hAnsi="Times New Roman" w:cs="Times New Roman"/>
          <w:sz w:val="24"/>
          <w:szCs w:val="24"/>
        </w:rPr>
        <w:t>s</w:t>
      </w:r>
      <w:r w:rsidR="00595CFE">
        <w:rPr>
          <w:rFonts w:ascii="Times New Roman" w:hAnsi="Times New Roman" w:cs="Times New Roman"/>
          <w:sz w:val="24"/>
          <w:szCs w:val="24"/>
        </w:rPr>
        <w:t>, in this document</w:t>
      </w:r>
      <w:r w:rsidR="00714A19">
        <w:rPr>
          <w:rFonts w:ascii="Times New Roman" w:hAnsi="Times New Roman" w:cs="Times New Roman"/>
          <w:sz w:val="24"/>
          <w:szCs w:val="24"/>
        </w:rPr>
        <w:t>;</w:t>
      </w:r>
    </w:p>
    <w:p w14:paraId="674BA68D" w14:textId="75103E9A" w:rsidR="00276D22" w:rsidRPr="00801CF6" w:rsidRDefault="00276D22" w:rsidP="006277DC">
      <w:pPr>
        <w:pStyle w:val="ListParagraph"/>
        <w:numPr>
          <w:ilvl w:val="0"/>
          <w:numId w:val="28"/>
        </w:numPr>
        <w:spacing w:line="259" w:lineRule="auto"/>
        <w:jc w:val="left"/>
        <w:rPr>
          <w:rFonts w:ascii="Times New Roman" w:hAnsi="Times New Roman" w:cs="Times New Roman"/>
          <w:sz w:val="24"/>
          <w:szCs w:val="24"/>
        </w:rPr>
      </w:pPr>
      <w:r w:rsidRPr="00801CF6">
        <w:rPr>
          <w:rFonts w:ascii="Times New Roman" w:hAnsi="Times New Roman" w:cs="Times New Roman"/>
          <w:sz w:val="24"/>
          <w:szCs w:val="24"/>
        </w:rPr>
        <w:t xml:space="preserve">Guidance specific to </w:t>
      </w:r>
      <w:r w:rsidR="00DE41B4" w:rsidRPr="00801CF6">
        <w:rPr>
          <w:rFonts w:ascii="Times New Roman" w:hAnsi="Times New Roman" w:cs="Times New Roman"/>
          <w:sz w:val="24"/>
          <w:szCs w:val="24"/>
        </w:rPr>
        <w:t>the 2026</w:t>
      </w:r>
      <w:r w:rsidR="00786665" w:rsidRPr="00801CF6">
        <w:rPr>
          <w:rFonts w:ascii="Times New Roman" w:hAnsi="Times New Roman" w:cs="Times New Roman"/>
          <w:sz w:val="24"/>
          <w:szCs w:val="24"/>
        </w:rPr>
        <w:t xml:space="preserve"> </w:t>
      </w:r>
      <w:r w:rsidRPr="00801CF6">
        <w:rPr>
          <w:rFonts w:ascii="Times New Roman" w:hAnsi="Times New Roman" w:cs="Times New Roman"/>
          <w:sz w:val="24"/>
          <w:szCs w:val="24"/>
        </w:rPr>
        <w:t>NQTLs</w:t>
      </w:r>
      <w:r w:rsidR="00595CFE">
        <w:rPr>
          <w:rFonts w:ascii="Times New Roman" w:hAnsi="Times New Roman" w:cs="Times New Roman"/>
          <w:sz w:val="24"/>
          <w:szCs w:val="24"/>
        </w:rPr>
        <w:t>, in this document</w:t>
      </w:r>
      <w:r w:rsidR="00714A19">
        <w:rPr>
          <w:rFonts w:ascii="Times New Roman" w:hAnsi="Times New Roman" w:cs="Times New Roman"/>
          <w:sz w:val="24"/>
          <w:szCs w:val="24"/>
        </w:rPr>
        <w:t>; and</w:t>
      </w:r>
    </w:p>
    <w:p w14:paraId="2FB59BFF" w14:textId="5EE4C87D" w:rsidR="00276D22" w:rsidRPr="00801CF6" w:rsidRDefault="00493896" w:rsidP="006277DC">
      <w:pPr>
        <w:pStyle w:val="ListParagraph"/>
        <w:numPr>
          <w:ilvl w:val="0"/>
          <w:numId w:val="29"/>
        </w:numPr>
        <w:spacing w:line="259" w:lineRule="auto"/>
        <w:jc w:val="left"/>
        <w:rPr>
          <w:rFonts w:ascii="Times New Roman" w:hAnsi="Times New Roman" w:cs="Times New Roman"/>
          <w:sz w:val="24"/>
          <w:szCs w:val="24"/>
        </w:rPr>
      </w:pPr>
      <w:r w:rsidRPr="00801CF6">
        <w:rPr>
          <w:rFonts w:ascii="Times New Roman" w:hAnsi="Times New Roman" w:cs="Times New Roman"/>
          <w:sz w:val="24"/>
          <w:szCs w:val="24"/>
        </w:rPr>
        <w:t>Specific i</w:t>
      </w:r>
      <w:r w:rsidR="001365F5" w:rsidRPr="00801CF6">
        <w:rPr>
          <w:rFonts w:ascii="Times New Roman" w:hAnsi="Times New Roman" w:cs="Times New Roman"/>
          <w:sz w:val="24"/>
          <w:szCs w:val="24"/>
        </w:rPr>
        <w:t xml:space="preserve">nstructions </w:t>
      </w:r>
      <w:r w:rsidR="00877034" w:rsidRPr="00801CF6">
        <w:rPr>
          <w:rFonts w:ascii="Times New Roman" w:hAnsi="Times New Roman" w:cs="Times New Roman"/>
          <w:sz w:val="24"/>
          <w:szCs w:val="24"/>
        </w:rPr>
        <w:t>for</w:t>
      </w:r>
      <w:r w:rsidR="001365F5" w:rsidRPr="00801CF6">
        <w:rPr>
          <w:rFonts w:ascii="Times New Roman" w:hAnsi="Times New Roman" w:cs="Times New Roman"/>
          <w:sz w:val="24"/>
          <w:szCs w:val="24"/>
        </w:rPr>
        <w:t xml:space="preserve"> </w:t>
      </w:r>
      <w:r w:rsidR="00276D22" w:rsidRPr="00801CF6">
        <w:rPr>
          <w:rFonts w:ascii="Times New Roman" w:hAnsi="Times New Roman" w:cs="Times New Roman"/>
          <w:sz w:val="24"/>
          <w:szCs w:val="24"/>
        </w:rPr>
        <w:t xml:space="preserve">filling out each </w:t>
      </w:r>
      <w:r w:rsidR="004459E0">
        <w:rPr>
          <w:rFonts w:ascii="Times New Roman" w:hAnsi="Times New Roman" w:cs="Times New Roman"/>
          <w:sz w:val="24"/>
          <w:szCs w:val="24"/>
        </w:rPr>
        <w:t>data supplement</w:t>
      </w:r>
      <w:r w:rsidR="00595CFE">
        <w:rPr>
          <w:rFonts w:ascii="Times New Roman" w:hAnsi="Times New Roman" w:cs="Times New Roman"/>
          <w:sz w:val="24"/>
          <w:szCs w:val="24"/>
        </w:rPr>
        <w:t>, on a tab within the template</w:t>
      </w:r>
      <w:r w:rsidR="00D85BB1">
        <w:rPr>
          <w:rFonts w:ascii="Times New Roman" w:hAnsi="Times New Roman" w:cs="Times New Roman"/>
          <w:sz w:val="24"/>
          <w:szCs w:val="24"/>
        </w:rPr>
        <w:t>s embedded below</w:t>
      </w:r>
      <w:r w:rsidR="00714A19">
        <w:rPr>
          <w:rFonts w:ascii="Times New Roman" w:hAnsi="Times New Roman" w:cs="Times New Roman"/>
          <w:sz w:val="24"/>
          <w:szCs w:val="24"/>
        </w:rPr>
        <w:t>.</w:t>
      </w:r>
    </w:p>
    <w:p w14:paraId="6D2716AD" w14:textId="7106926F" w:rsidR="001365F5" w:rsidRPr="00801CF6" w:rsidRDefault="001365F5" w:rsidP="001365F5">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Carriers are encouraged to review the instructions in full prior to preparing and submitting a comparative analysis.</w:t>
      </w:r>
    </w:p>
    <w:p w14:paraId="60108019" w14:textId="4D7ED430" w:rsidR="00786665" w:rsidRPr="00801CF6" w:rsidRDefault="00786665" w:rsidP="00786665">
      <w:pPr>
        <w:ind w:left="0" w:firstLine="0"/>
        <w:rPr>
          <w:rFonts w:ascii="Times New Roman" w:eastAsia="Times New Roman" w:hAnsi="Times New Roman" w:cs="Times New Roman"/>
          <w:b/>
          <w:sz w:val="24"/>
          <w:szCs w:val="24"/>
        </w:rPr>
      </w:pPr>
      <w:r w:rsidRPr="00801CF6">
        <w:rPr>
          <w:rFonts w:ascii="Times New Roman" w:eastAsia="Times New Roman" w:hAnsi="Times New Roman" w:cs="Times New Roman"/>
          <w:sz w:val="24"/>
          <w:szCs w:val="24"/>
        </w:rPr>
        <w:t>The Seven Step</w:t>
      </w:r>
      <w:r w:rsidR="006A6731" w:rsidRPr="00801CF6">
        <w:rPr>
          <w:rFonts w:ascii="Times New Roman" w:eastAsia="Times New Roman" w:hAnsi="Times New Roman" w:cs="Times New Roman"/>
          <w:sz w:val="24"/>
          <w:szCs w:val="24"/>
        </w:rPr>
        <w:t>s</w:t>
      </w:r>
      <w:r w:rsidRPr="00801CF6">
        <w:rPr>
          <w:rFonts w:ascii="Times New Roman" w:eastAsia="Times New Roman" w:hAnsi="Times New Roman" w:cs="Times New Roman"/>
          <w:sz w:val="24"/>
          <w:szCs w:val="24"/>
        </w:rPr>
        <w:t xml:space="preserve"> in these instructions are sequential and directly related to one another. </w:t>
      </w:r>
      <w:r w:rsidRPr="00801CF6">
        <w:rPr>
          <w:rFonts w:ascii="Times New Roman" w:eastAsia="Times New Roman" w:hAnsi="Times New Roman" w:cs="Times New Roman"/>
          <w:b/>
          <w:sz w:val="24"/>
          <w:szCs w:val="24"/>
        </w:rPr>
        <w:t xml:space="preserve">Because of this, an incomplete response to any step in the process </w:t>
      </w:r>
      <w:r w:rsidR="00D501D5">
        <w:rPr>
          <w:rFonts w:ascii="Times New Roman" w:eastAsia="Times New Roman" w:hAnsi="Times New Roman" w:cs="Times New Roman"/>
          <w:b/>
          <w:sz w:val="24"/>
          <w:szCs w:val="24"/>
        </w:rPr>
        <w:t>will</w:t>
      </w:r>
      <w:r w:rsidRPr="00801CF6">
        <w:rPr>
          <w:rFonts w:ascii="Times New Roman" w:eastAsia="Times New Roman" w:hAnsi="Times New Roman" w:cs="Times New Roman"/>
          <w:b/>
          <w:sz w:val="24"/>
          <w:szCs w:val="24"/>
        </w:rPr>
        <w:t xml:space="preserve"> render the response for an entire </w:t>
      </w:r>
      <w:r w:rsidRPr="00801CF6">
        <w:rPr>
          <w:rFonts w:ascii="Times New Roman" w:eastAsia="Times New Roman" w:hAnsi="Times New Roman" w:cs="Times New Roman"/>
          <w:b/>
          <w:sz w:val="24"/>
          <w:szCs w:val="24"/>
        </w:rPr>
        <w:lastRenderedPageBreak/>
        <w:t>NQTL incomplete</w:t>
      </w:r>
      <w:r w:rsidR="00D501D5">
        <w:rPr>
          <w:rFonts w:ascii="Times New Roman" w:eastAsia="Times New Roman" w:hAnsi="Times New Roman" w:cs="Times New Roman"/>
          <w:b/>
          <w:sz w:val="24"/>
          <w:szCs w:val="24"/>
        </w:rPr>
        <w:t xml:space="preserve"> and subject the carrier to agency action, as authorized under</w:t>
      </w:r>
      <w:r w:rsidR="00D501D5" w:rsidRPr="00D501D5">
        <w:rPr>
          <w:rFonts w:ascii="Times New Roman" w:eastAsia="Times New Roman" w:hAnsi="Times New Roman" w:cs="Times New Roman"/>
          <w:b/>
          <w:sz w:val="24"/>
          <w:szCs w:val="24"/>
        </w:rPr>
        <w:t xml:space="preserve"> </w:t>
      </w:r>
      <w:r w:rsidR="00D501D5" w:rsidRPr="00D501D5">
        <w:rPr>
          <w:rFonts w:ascii="Times New Roman" w:eastAsia="Times New Roman" w:hAnsi="Times New Roman" w:cs="Times New Roman"/>
          <w:b/>
          <w:color w:val="000000"/>
        </w:rPr>
        <w:t>§ 15-144, at the discretion of the Administration</w:t>
      </w:r>
      <w:r w:rsidRPr="00801CF6">
        <w:rPr>
          <w:rFonts w:ascii="Times New Roman" w:eastAsia="Times New Roman" w:hAnsi="Times New Roman" w:cs="Times New Roman"/>
          <w:b/>
          <w:sz w:val="24"/>
          <w:szCs w:val="24"/>
        </w:rPr>
        <w:t xml:space="preserve">.     </w:t>
      </w:r>
    </w:p>
    <w:p w14:paraId="7E5CC5AA" w14:textId="69ABA202" w:rsidR="00F2695B" w:rsidRDefault="00786665" w:rsidP="003A0847">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The benefits, provider type, drugs, </w:t>
      </w:r>
      <w:r w:rsidR="00555147">
        <w:rPr>
          <w:rFonts w:ascii="Times New Roman" w:eastAsia="Times New Roman" w:hAnsi="Times New Roman" w:cs="Times New Roman"/>
          <w:sz w:val="24"/>
          <w:szCs w:val="24"/>
        </w:rPr>
        <w:t>and other items</w:t>
      </w:r>
      <w:r w:rsidRPr="00801CF6">
        <w:rPr>
          <w:rFonts w:ascii="Times New Roman" w:eastAsia="Times New Roman" w:hAnsi="Times New Roman" w:cs="Times New Roman"/>
          <w:sz w:val="24"/>
          <w:szCs w:val="24"/>
        </w:rPr>
        <w:t xml:space="preserve"> that are discussed in Step 1 </w:t>
      </w:r>
      <w:r w:rsidR="001F5D30" w:rsidRPr="00801CF6">
        <w:rPr>
          <w:rFonts w:ascii="Times New Roman" w:eastAsia="Times New Roman" w:hAnsi="Times New Roman" w:cs="Times New Roman"/>
          <w:sz w:val="24"/>
          <w:szCs w:val="24"/>
        </w:rPr>
        <w:t>(“NQTL Description, Application, and Methodology</w:t>
      </w:r>
      <w:r w:rsidR="002B4EF9" w:rsidRPr="00801CF6">
        <w:rPr>
          <w:rFonts w:ascii="Times New Roman" w:eastAsia="Times New Roman" w:hAnsi="Times New Roman" w:cs="Times New Roman"/>
          <w:sz w:val="24"/>
          <w:szCs w:val="24"/>
        </w:rPr>
        <w:t>”</w:t>
      </w:r>
      <w:r w:rsidR="001F5D30" w:rsidRPr="00801CF6">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should reflect the covered services listed in the </w:t>
      </w:r>
      <w:r w:rsidR="00745009">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Benefit Classifications</w:t>
      </w:r>
      <w:r w:rsidR="00745009">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section of these instructions. Step 2 </w:t>
      </w:r>
      <w:r w:rsidR="001F5D30" w:rsidRPr="00801CF6">
        <w:rPr>
          <w:rFonts w:ascii="Times New Roman" w:eastAsia="Times New Roman" w:hAnsi="Times New Roman" w:cs="Times New Roman"/>
          <w:sz w:val="24"/>
          <w:szCs w:val="24"/>
        </w:rPr>
        <w:t>(</w:t>
      </w:r>
      <w:r w:rsidR="00714A19">
        <w:rPr>
          <w:rFonts w:ascii="Times New Roman" w:eastAsia="Times New Roman" w:hAnsi="Times New Roman" w:cs="Times New Roman"/>
          <w:sz w:val="24"/>
          <w:szCs w:val="24"/>
        </w:rPr>
        <w:t>“Factors and Sources by Benefit</w:t>
      </w:r>
      <w:r w:rsidR="001F5D30" w:rsidRPr="00801CF6">
        <w:rPr>
          <w:rFonts w:ascii="Times New Roman" w:eastAsia="Times New Roman" w:hAnsi="Times New Roman" w:cs="Times New Roman"/>
          <w:sz w:val="24"/>
          <w:szCs w:val="24"/>
        </w:rPr>
        <w:t xml:space="preserve"> and Classification”)</w:t>
      </w:r>
      <w:r w:rsidRPr="00801CF6">
        <w:rPr>
          <w:rFonts w:ascii="Times New Roman" w:eastAsia="Times New Roman" w:hAnsi="Times New Roman" w:cs="Times New Roman"/>
          <w:sz w:val="24"/>
          <w:szCs w:val="24"/>
        </w:rPr>
        <w:t xml:space="preserve"> and Step 3 </w:t>
      </w:r>
      <w:r w:rsidR="001F5D30" w:rsidRPr="00801CF6">
        <w:rPr>
          <w:rFonts w:ascii="Times New Roman" w:eastAsia="Times New Roman" w:hAnsi="Times New Roman" w:cs="Times New Roman"/>
          <w:sz w:val="24"/>
          <w:szCs w:val="24"/>
        </w:rPr>
        <w:t>(“</w:t>
      </w:r>
      <w:r w:rsidR="00714A19" w:rsidRPr="0078489A">
        <w:rPr>
          <w:rFonts w:ascii="Times New Roman" w:eastAsia="Times New Roman" w:hAnsi="Times New Roman" w:cs="Times New Roman"/>
          <w:sz w:val="24"/>
          <w:szCs w:val="24"/>
        </w:rPr>
        <w:t>Evidence of</w:t>
      </w:r>
      <w:r w:rsidR="001F5D30" w:rsidRPr="0078489A">
        <w:rPr>
          <w:rFonts w:ascii="Times New Roman" w:eastAsia="Times New Roman" w:hAnsi="Times New Roman" w:cs="Times New Roman"/>
          <w:sz w:val="24"/>
          <w:szCs w:val="24"/>
        </w:rPr>
        <w:t xml:space="preserve"> Each Factor</w:t>
      </w:r>
      <w:r w:rsidR="00A809A3">
        <w:rPr>
          <w:rFonts w:ascii="Times New Roman" w:eastAsia="Times New Roman" w:hAnsi="Times New Roman" w:cs="Times New Roman"/>
          <w:sz w:val="24"/>
          <w:szCs w:val="24"/>
        </w:rPr>
        <w:t xml:space="preserve"> and Evidentiary Standard</w:t>
      </w:r>
      <w:r w:rsidR="001F5D30" w:rsidRPr="00801CF6">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are directly related and both must be addressed in the written comparability policies analyzed in Step 4</w:t>
      </w:r>
      <w:r w:rsidR="001F5D30" w:rsidRPr="00801CF6">
        <w:rPr>
          <w:rFonts w:ascii="Times New Roman" w:eastAsia="Times New Roman" w:hAnsi="Times New Roman" w:cs="Times New Roman"/>
          <w:sz w:val="24"/>
          <w:szCs w:val="24"/>
        </w:rPr>
        <w:t xml:space="preserve"> (“Comparable Written Policies”)</w:t>
      </w:r>
      <w:r w:rsidRPr="00801CF6">
        <w:rPr>
          <w:rFonts w:ascii="Times New Roman" w:eastAsia="Times New Roman" w:hAnsi="Times New Roman" w:cs="Times New Roman"/>
          <w:sz w:val="24"/>
          <w:szCs w:val="24"/>
        </w:rPr>
        <w:t xml:space="preserve">. Step 5 </w:t>
      </w:r>
      <w:r w:rsidR="001F5D30" w:rsidRPr="00801CF6">
        <w:rPr>
          <w:rFonts w:ascii="Times New Roman" w:eastAsia="Times New Roman" w:hAnsi="Times New Roman" w:cs="Times New Roman"/>
          <w:sz w:val="24"/>
          <w:szCs w:val="24"/>
        </w:rPr>
        <w:t>(“</w:t>
      </w:r>
      <w:r w:rsidR="00714A19" w:rsidRPr="00714A19">
        <w:rPr>
          <w:rFonts w:ascii="Times New Roman" w:eastAsia="Times New Roman" w:hAnsi="Times New Roman" w:cs="Times New Roman"/>
          <w:sz w:val="24"/>
          <w:szCs w:val="24"/>
        </w:rPr>
        <w:t>Comparable In-Operation Data Analysis/Audits/Reviews</w:t>
      </w:r>
      <w:r w:rsidR="001F5D30" w:rsidRPr="00801CF6">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requires </w:t>
      </w:r>
      <w:r w:rsidR="00555147">
        <w:rPr>
          <w:rFonts w:ascii="Times New Roman" w:eastAsia="Times New Roman" w:hAnsi="Times New Roman" w:cs="Times New Roman"/>
          <w:sz w:val="24"/>
          <w:szCs w:val="24"/>
        </w:rPr>
        <w:t xml:space="preserve">reporting the </w:t>
      </w:r>
      <w:r w:rsidRPr="00801CF6">
        <w:rPr>
          <w:rFonts w:ascii="Times New Roman" w:eastAsia="Times New Roman" w:hAnsi="Times New Roman" w:cs="Times New Roman"/>
          <w:sz w:val="24"/>
          <w:szCs w:val="24"/>
        </w:rPr>
        <w:t xml:space="preserve">results of audits and reviews </w:t>
      </w:r>
      <w:r w:rsidR="00555147">
        <w:rPr>
          <w:rFonts w:ascii="Times New Roman" w:eastAsia="Times New Roman" w:hAnsi="Times New Roman" w:cs="Times New Roman"/>
          <w:sz w:val="24"/>
          <w:szCs w:val="24"/>
        </w:rPr>
        <w:t>(i</w:t>
      </w:r>
      <w:r w:rsidR="00555147" w:rsidRPr="00801CF6">
        <w:rPr>
          <w:rFonts w:ascii="Times New Roman" w:eastAsia="Times New Roman" w:hAnsi="Times New Roman" w:cs="Times New Roman"/>
          <w:sz w:val="24"/>
          <w:szCs w:val="24"/>
        </w:rPr>
        <w:t>ncluding any data and numerical results</w:t>
      </w:r>
      <w:r w:rsidR="00555147">
        <w:rPr>
          <w:rFonts w:ascii="Times New Roman" w:eastAsia="Times New Roman" w:hAnsi="Times New Roman" w:cs="Times New Roman"/>
          <w:sz w:val="24"/>
          <w:szCs w:val="24"/>
        </w:rPr>
        <w:t>)</w:t>
      </w:r>
      <w:r w:rsidR="00555147" w:rsidRPr="00801CF6">
        <w:rPr>
          <w:rFonts w:ascii="Times New Roman" w:eastAsia="Times New Roman" w:hAnsi="Times New Roman" w:cs="Times New Roman"/>
          <w:sz w:val="24"/>
          <w:szCs w:val="24"/>
        </w:rPr>
        <w:t xml:space="preserve"> </w:t>
      </w:r>
      <w:r w:rsidR="00714A19">
        <w:rPr>
          <w:rFonts w:ascii="Times New Roman" w:eastAsia="Times New Roman" w:hAnsi="Times New Roman" w:cs="Times New Roman"/>
          <w:sz w:val="24"/>
          <w:szCs w:val="24"/>
        </w:rPr>
        <w:t>conducted to verify that</w:t>
      </w:r>
      <w:r w:rsidRPr="00801CF6">
        <w:rPr>
          <w:rFonts w:ascii="Times New Roman" w:eastAsia="Times New Roman" w:hAnsi="Times New Roman" w:cs="Times New Roman"/>
          <w:sz w:val="24"/>
          <w:szCs w:val="24"/>
        </w:rPr>
        <w:t xml:space="preserve"> written policies </w:t>
      </w:r>
      <w:r w:rsidR="00555147">
        <w:rPr>
          <w:rFonts w:ascii="Times New Roman" w:eastAsia="Times New Roman" w:hAnsi="Times New Roman" w:cs="Times New Roman"/>
          <w:sz w:val="24"/>
          <w:szCs w:val="24"/>
        </w:rPr>
        <w:t xml:space="preserve">reported in Step 4 are functioning </w:t>
      </w:r>
      <w:r w:rsidRPr="00801CF6">
        <w:rPr>
          <w:rFonts w:ascii="Times New Roman" w:eastAsia="Times New Roman" w:hAnsi="Times New Roman" w:cs="Times New Roman"/>
          <w:sz w:val="24"/>
          <w:szCs w:val="24"/>
        </w:rPr>
        <w:t>properly</w:t>
      </w:r>
      <w:r w:rsidR="00555147">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rPr>
        <w:t xml:space="preserve">Step 6 </w:t>
      </w:r>
      <w:r w:rsidR="001F5D30" w:rsidRPr="00801CF6">
        <w:rPr>
          <w:rFonts w:ascii="Times New Roman" w:eastAsia="Times New Roman" w:hAnsi="Times New Roman" w:cs="Times New Roman"/>
          <w:sz w:val="24"/>
          <w:szCs w:val="24"/>
        </w:rPr>
        <w:t>(“Delegated Entities”)</w:t>
      </w:r>
      <w:r w:rsidRPr="00801CF6">
        <w:rPr>
          <w:rFonts w:ascii="Times New Roman" w:eastAsia="Times New Roman" w:hAnsi="Times New Roman" w:cs="Times New Roman"/>
          <w:sz w:val="24"/>
          <w:szCs w:val="24"/>
        </w:rPr>
        <w:t xml:space="preserve"> summarizes the plan’s efforts to coordinate with its delegated entities, if any, on </w:t>
      </w:r>
      <w:r w:rsidR="002B4EF9" w:rsidRPr="0078489A">
        <w:rPr>
          <w:rFonts w:ascii="Times New Roman" w:eastAsia="Times New Roman" w:hAnsi="Times New Roman" w:cs="Times New Roman"/>
          <w:sz w:val="24"/>
          <w:szCs w:val="24"/>
        </w:rPr>
        <w:t>parity</w:t>
      </w:r>
      <w:r w:rsidRPr="0078489A">
        <w:rPr>
          <w:rFonts w:ascii="Times New Roman" w:eastAsia="Times New Roman" w:hAnsi="Times New Roman" w:cs="Times New Roman"/>
          <w:sz w:val="24"/>
          <w:szCs w:val="24"/>
        </w:rPr>
        <w:t xml:space="preserve"> analysis activities.  In Step 7, </w:t>
      </w:r>
      <w:r w:rsidR="001F5D30" w:rsidRPr="0078489A">
        <w:rPr>
          <w:rFonts w:ascii="Times New Roman" w:eastAsia="Times New Roman" w:hAnsi="Times New Roman" w:cs="Times New Roman"/>
          <w:sz w:val="24"/>
          <w:szCs w:val="24"/>
        </w:rPr>
        <w:t>(“</w:t>
      </w:r>
      <w:r w:rsidR="001332BB" w:rsidRPr="0078489A">
        <w:rPr>
          <w:rFonts w:ascii="Times New Roman" w:eastAsia="Times New Roman" w:hAnsi="Times New Roman" w:cs="Times New Roman"/>
          <w:sz w:val="24"/>
          <w:szCs w:val="24"/>
        </w:rPr>
        <w:t xml:space="preserve">Specific </w:t>
      </w:r>
      <w:r w:rsidR="001F5D30" w:rsidRPr="0078489A">
        <w:rPr>
          <w:rFonts w:ascii="Times New Roman" w:eastAsia="Times New Roman" w:hAnsi="Times New Roman" w:cs="Times New Roman"/>
          <w:sz w:val="24"/>
          <w:szCs w:val="24"/>
        </w:rPr>
        <w:t xml:space="preserve">Findings and Conclusions”) </w:t>
      </w:r>
      <w:r w:rsidRPr="0078489A">
        <w:rPr>
          <w:rFonts w:ascii="Times New Roman" w:eastAsia="Times New Roman" w:hAnsi="Times New Roman" w:cs="Times New Roman"/>
          <w:sz w:val="24"/>
          <w:szCs w:val="24"/>
        </w:rPr>
        <w:t xml:space="preserve">carriers must summarize the </w:t>
      </w:r>
      <w:r w:rsidR="002B4EF9" w:rsidRPr="0078489A">
        <w:rPr>
          <w:rFonts w:ascii="Times New Roman" w:eastAsia="Times New Roman" w:hAnsi="Times New Roman" w:cs="Times New Roman"/>
          <w:sz w:val="24"/>
          <w:szCs w:val="24"/>
        </w:rPr>
        <w:t>parity</w:t>
      </w:r>
      <w:r w:rsidRPr="0078489A">
        <w:rPr>
          <w:rFonts w:ascii="Times New Roman" w:eastAsia="Times New Roman" w:hAnsi="Times New Roman" w:cs="Times New Roman"/>
          <w:sz w:val="24"/>
          <w:szCs w:val="24"/>
        </w:rPr>
        <w:t xml:space="preserve"> findings from each step of the analysis</w:t>
      </w:r>
      <w:r w:rsidR="00555147" w:rsidRPr="0078489A">
        <w:rPr>
          <w:rFonts w:ascii="Times New Roman" w:eastAsia="Times New Roman" w:hAnsi="Times New Roman" w:cs="Times New Roman"/>
          <w:sz w:val="24"/>
          <w:szCs w:val="24"/>
        </w:rPr>
        <w:t>,</w:t>
      </w:r>
      <w:r w:rsidRPr="0078489A">
        <w:rPr>
          <w:rFonts w:ascii="Times New Roman" w:eastAsia="Times New Roman" w:hAnsi="Times New Roman" w:cs="Times New Roman"/>
          <w:sz w:val="24"/>
          <w:szCs w:val="24"/>
        </w:rPr>
        <w:t xml:space="preserve"> includi</w:t>
      </w:r>
      <w:r w:rsidRPr="00801CF6">
        <w:rPr>
          <w:rFonts w:ascii="Times New Roman" w:eastAsia="Times New Roman" w:hAnsi="Times New Roman" w:cs="Times New Roman"/>
          <w:sz w:val="24"/>
          <w:szCs w:val="24"/>
        </w:rPr>
        <w:t xml:space="preserve">ng the data supplement templates.  </w:t>
      </w:r>
    </w:p>
    <w:p w14:paraId="10CD9081" w14:textId="77777777" w:rsidR="00377A1E" w:rsidRPr="00801CF6" w:rsidRDefault="00377A1E" w:rsidP="003A0847">
      <w:pPr>
        <w:ind w:left="0" w:firstLine="0"/>
        <w:rPr>
          <w:rFonts w:ascii="Times New Roman" w:eastAsia="Times New Roman" w:hAnsi="Times New Roman" w:cs="Times New Roman"/>
          <w:sz w:val="24"/>
          <w:szCs w:val="24"/>
        </w:rPr>
      </w:pPr>
    </w:p>
    <w:p w14:paraId="34B13BE9" w14:textId="3F4A49F0" w:rsidR="003A0847" w:rsidRPr="00377A1E" w:rsidRDefault="00377A1E" w:rsidP="004F0CD8">
      <w:pPr>
        <w:pStyle w:val="Heading1"/>
      </w:pPr>
      <w:bookmarkStart w:id="5" w:name="_Toc229123336"/>
      <w:bookmarkStart w:id="6" w:name="_Toc229123614"/>
      <w:bookmarkStart w:id="7" w:name="OLE_LINK1"/>
      <w:bookmarkStart w:id="8" w:name="OLE_LINK2"/>
      <w:r w:rsidRPr="00377A1E">
        <w:t xml:space="preserve">INCOMPLETE ANALYSIS REPORTS </w:t>
      </w:r>
      <w:r w:rsidR="004E6C6F">
        <w:t>and</w:t>
      </w:r>
      <w:r w:rsidRPr="00377A1E">
        <w:t xml:space="preserve"> OTHER RED FLAGS OF NONCOMPLIANCE</w:t>
      </w:r>
      <w:bookmarkEnd w:id="5"/>
      <w:bookmarkEnd w:id="6"/>
    </w:p>
    <w:p w14:paraId="74B947B6" w14:textId="2DF69506" w:rsidR="003A0847" w:rsidRPr="00801CF6" w:rsidRDefault="003A0847" w:rsidP="0078489A">
      <w:pPr>
        <w:spacing w:after="164" w:line="248"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In their comparative analys</w:t>
      </w:r>
      <w:r w:rsidR="00B8695C">
        <w:rPr>
          <w:rFonts w:ascii="Times New Roman" w:eastAsia="Times New Roman" w:hAnsi="Times New Roman" w:cs="Times New Roman"/>
          <w:sz w:val="24"/>
          <w:szCs w:val="24"/>
        </w:rPr>
        <w:t>e</w:t>
      </w:r>
      <w:r w:rsidRPr="00801CF6">
        <w:rPr>
          <w:rFonts w:ascii="Times New Roman" w:eastAsia="Times New Roman" w:hAnsi="Times New Roman" w:cs="Times New Roman"/>
          <w:sz w:val="24"/>
          <w:szCs w:val="24"/>
        </w:rPr>
        <w:t xml:space="preserve">s, carriers must provide a variety of information to demonstrate compliance with the Parity Act. A comparative analysis must demonstrate that for each product </w:t>
      </w:r>
      <w:r w:rsidR="000B7D09">
        <w:rPr>
          <w:rFonts w:ascii="Times New Roman" w:eastAsia="Times New Roman" w:hAnsi="Times New Roman" w:cs="Times New Roman"/>
          <w:sz w:val="24"/>
          <w:szCs w:val="24"/>
        </w:rPr>
        <w:t xml:space="preserve">(or plan, as applicable) </w:t>
      </w:r>
      <w:r w:rsidRPr="00801CF6">
        <w:rPr>
          <w:rFonts w:ascii="Times New Roman" w:eastAsia="Times New Roman" w:hAnsi="Times New Roman" w:cs="Times New Roman"/>
          <w:sz w:val="24"/>
          <w:szCs w:val="24"/>
        </w:rPr>
        <w:t>the processes, strategies, evidentiary standards, or other factors used in designing and applying each NQTL, as written and in operation, are applied to MH and SUD benefits within each parity classification or sub-classification  comparably to, and no more stringently than, the processes, strategies, evidentiary standards, or other factors used in applying NQTLs to medical/surgical benefits in the same classification or sub-classification.</w:t>
      </w:r>
    </w:p>
    <w:p w14:paraId="593335C6" w14:textId="77777777" w:rsidR="00AE21EC" w:rsidRPr="00801CF6" w:rsidRDefault="00493896" w:rsidP="0078489A">
      <w:pPr>
        <w:spacing w:after="164" w:line="248"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The MIA reviews the results of each carrier’s comparative analysis and may request additional information from a carrier to demonstrate its compliance. </w:t>
      </w:r>
      <w:r w:rsidR="00AE21EC">
        <w:rPr>
          <w:rFonts w:ascii="Times New Roman" w:eastAsia="Times New Roman" w:hAnsi="Times New Roman" w:cs="Times New Roman"/>
          <w:sz w:val="24"/>
          <w:szCs w:val="24"/>
        </w:rPr>
        <w:t xml:space="preserve">The MIA reserves the right to request additional information not identified in this document as needed to confirm that a carrier has demonstrated compliance. </w:t>
      </w:r>
    </w:p>
    <w:p w14:paraId="0F502CCB" w14:textId="1330E805" w:rsidR="00493896" w:rsidRDefault="00493896" w:rsidP="0078489A">
      <w:pPr>
        <w:spacing w:after="164" w:line="248"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Carriers are expected to provide accurate, consistent, and complete comparative analys</w:t>
      </w:r>
      <w:r w:rsidR="00B8695C">
        <w:rPr>
          <w:rFonts w:ascii="Times New Roman" w:eastAsia="Times New Roman" w:hAnsi="Times New Roman" w:cs="Times New Roman"/>
          <w:sz w:val="24"/>
          <w:szCs w:val="24"/>
        </w:rPr>
        <w:t>e</w:t>
      </w:r>
      <w:r w:rsidRPr="00801CF6">
        <w:rPr>
          <w:rFonts w:ascii="Times New Roman" w:eastAsia="Times New Roman" w:hAnsi="Times New Roman" w:cs="Times New Roman"/>
          <w:sz w:val="24"/>
          <w:szCs w:val="24"/>
        </w:rPr>
        <w:t xml:space="preserve">s without the necessity for numerous requests from the MIA and resubmissions of additional data by the carrier. </w:t>
      </w:r>
      <w:r w:rsidR="00AE21EC">
        <w:rPr>
          <w:rFonts w:ascii="Times New Roman" w:eastAsia="Times New Roman" w:hAnsi="Times New Roman" w:cs="Times New Roman"/>
          <w:sz w:val="24"/>
          <w:szCs w:val="24"/>
        </w:rPr>
        <w:t>Carriers are reminded that a</w:t>
      </w:r>
      <w:r w:rsidRPr="00801CF6">
        <w:rPr>
          <w:rFonts w:ascii="Times New Roman" w:eastAsia="Times New Roman" w:hAnsi="Times New Roman" w:cs="Times New Roman"/>
          <w:sz w:val="24"/>
          <w:szCs w:val="24"/>
        </w:rPr>
        <w:t xml:space="preserve"> complete comparative analysis meets the requirements of §</w:t>
      </w:r>
      <w:r w:rsidR="00B8695C">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rPr>
        <w:t>15-144(c)-(</w:t>
      </w:r>
      <w:r w:rsidR="00B732AC">
        <w:rPr>
          <w:rFonts w:ascii="Times New Roman" w:eastAsia="Times New Roman" w:hAnsi="Times New Roman" w:cs="Times New Roman"/>
          <w:sz w:val="24"/>
          <w:szCs w:val="24"/>
        </w:rPr>
        <w:t>e</w:t>
      </w:r>
      <w:r w:rsidRPr="00801CF6">
        <w:rPr>
          <w:rFonts w:ascii="Times New Roman" w:eastAsia="Times New Roman" w:hAnsi="Times New Roman" w:cs="Times New Roman"/>
          <w:sz w:val="24"/>
          <w:szCs w:val="24"/>
        </w:rPr>
        <w:t xml:space="preserve">) and includes all data and information required by COMAR 31.10.51 and </w:t>
      </w:r>
      <w:r w:rsidR="00745009">
        <w:rPr>
          <w:rFonts w:ascii="Times New Roman" w:eastAsia="Times New Roman" w:hAnsi="Times New Roman" w:cs="Times New Roman"/>
          <w:sz w:val="24"/>
          <w:szCs w:val="24"/>
        </w:rPr>
        <w:t>all</w:t>
      </w:r>
      <w:r w:rsidRPr="00801CF6">
        <w:rPr>
          <w:rFonts w:ascii="Times New Roman" w:eastAsia="Times New Roman" w:hAnsi="Times New Roman" w:cs="Times New Roman"/>
          <w:sz w:val="24"/>
          <w:szCs w:val="24"/>
        </w:rPr>
        <w:t xml:space="preserve"> instructions using the data supplement templates.</w:t>
      </w:r>
    </w:p>
    <w:p w14:paraId="471EEB89" w14:textId="16A7998D" w:rsidR="000B1692" w:rsidRPr="00801CF6" w:rsidRDefault="000B1692" w:rsidP="0078489A">
      <w:pPr>
        <w:spacing w:after="164" w:line="248"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Section 15-144(j) describes the actions the Commissioner may take if a carrier fails to submit a complete report, including imposing administrative penalties, charging the carrier for any additional expenses incurred by the Commissioner to review additional reports, ordering the carrier to cease, modify, or submit periodic data related to the disputed conduct or practice, or perform a new comparative analysis.</w:t>
      </w:r>
    </w:p>
    <w:p w14:paraId="2400D0EC" w14:textId="53209026" w:rsidR="003A0847" w:rsidRPr="00801CF6" w:rsidRDefault="00AB66E1" w:rsidP="007E1080">
      <w:pPr>
        <w:spacing w:after="164" w:line="248" w:lineRule="auto"/>
        <w:ind w:left="0" w:firstLine="0"/>
        <w:rPr>
          <w:rFonts w:ascii="Times New Roman" w:eastAsia="Times New Roman" w:hAnsi="Times New Roman" w:cs="Times New Roman"/>
          <w:b/>
          <w:sz w:val="24"/>
          <w:szCs w:val="24"/>
        </w:rPr>
      </w:pPr>
      <w:r w:rsidRPr="00801CF6">
        <w:rPr>
          <w:rFonts w:ascii="Times New Roman" w:eastAsia="Times New Roman" w:hAnsi="Times New Roman" w:cs="Times New Roman"/>
          <w:b/>
          <w:sz w:val="24"/>
          <w:szCs w:val="24"/>
        </w:rPr>
        <w:t>F</w:t>
      </w:r>
      <w:r w:rsidR="003A0847" w:rsidRPr="00801CF6">
        <w:rPr>
          <w:rFonts w:ascii="Times New Roman" w:eastAsia="Times New Roman" w:hAnsi="Times New Roman" w:cs="Times New Roman"/>
          <w:b/>
          <w:sz w:val="24"/>
          <w:szCs w:val="24"/>
        </w:rPr>
        <w:t>ailure to submit a complete comparative analysis is a Parity Ac</w:t>
      </w:r>
      <w:r w:rsidR="003800E0">
        <w:rPr>
          <w:rFonts w:ascii="Times New Roman" w:eastAsia="Times New Roman" w:hAnsi="Times New Roman" w:cs="Times New Roman"/>
          <w:b/>
          <w:sz w:val="24"/>
          <w:szCs w:val="24"/>
        </w:rPr>
        <w:t>t violation.</w:t>
      </w:r>
    </w:p>
    <w:bookmarkEnd w:id="7"/>
    <w:bookmarkEnd w:id="8"/>
    <w:p w14:paraId="358E8FFC" w14:textId="6AA531DB" w:rsidR="003A0847" w:rsidRPr="00801CF6" w:rsidRDefault="003A0847" w:rsidP="007E1080">
      <w:pPr>
        <w:spacing w:after="163" w:line="248"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lastRenderedPageBreak/>
        <w:t xml:space="preserve">The following responses are likely to occur when differences between </w:t>
      </w:r>
      <w:r w:rsidR="00FA3D0B" w:rsidRPr="00801CF6">
        <w:rPr>
          <w:rFonts w:ascii="Times New Roman" w:eastAsia="Times New Roman" w:hAnsi="Times New Roman" w:cs="Times New Roman"/>
          <w:sz w:val="24"/>
          <w:szCs w:val="24"/>
        </w:rPr>
        <w:t>medical/sur</w:t>
      </w:r>
      <w:r w:rsidR="00C46AD7" w:rsidRPr="00801CF6">
        <w:rPr>
          <w:rFonts w:ascii="Times New Roman" w:eastAsia="Times New Roman" w:hAnsi="Times New Roman" w:cs="Times New Roman"/>
          <w:sz w:val="24"/>
          <w:szCs w:val="24"/>
        </w:rPr>
        <w:t>g</w:t>
      </w:r>
      <w:r w:rsidR="00FA3D0B" w:rsidRPr="00801CF6">
        <w:rPr>
          <w:rFonts w:ascii="Times New Roman" w:eastAsia="Times New Roman" w:hAnsi="Times New Roman" w:cs="Times New Roman"/>
          <w:sz w:val="24"/>
          <w:szCs w:val="24"/>
        </w:rPr>
        <w:t>ical</w:t>
      </w:r>
      <w:r w:rsidRPr="00801CF6">
        <w:rPr>
          <w:rFonts w:ascii="Times New Roman" w:eastAsia="Times New Roman" w:hAnsi="Times New Roman" w:cs="Times New Roman"/>
          <w:sz w:val="24"/>
          <w:szCs w:val="24"/>
        </w:rPr>
        <w:t xml:space="preserve"> and MH/SUD covered benefits are not accounted for and may result in a finding that a carrier failed to submit a complete analysis report:</w:t>
      </w:r>
    </w:p>
    <w:p w14:paraId="77F9C21A" w14:textId="58777374" w:rsidR="003A0847" w:rsidRPr="00757D14" w:rsidRDefault="003A0847" w:rsidP="00757D14">
      <w:pPr>
        <w:pStyle w:val="ListParagraph"/>
        <w:numPr>
          <w:ilvl w:val="0"/>
          <w:numId w:val="40"/>
        </w:numPr>
        <w:spacing w:after="163" w:line="247" w:lineRule="auto"/>
        <w:rPr>
          <w:rFonts w:ascii="Times New Roman" w:hAnsi="Times New Roman" w:cs="Times New Roman"/>
          <w:sz w:val="24"/>
          <w:szCs w:val="24"/>
        </w:rPr>
      </w:pPr>
      <w:r w:rsidRPr="00EA3874">
        <w:rPr>
          <w:rFonts w:ascii="Times New Roman" w:eastAsia="Times New Roman" w:hAnsi="Times New Roman" w:cs="Times New Roman"/>
          <w:sz w:val="24"/>
          <w:szCs w:val="24"/>
        </w:rPr>
        <w:t xml:space="preserve">Production of documents without a clear explanation of how and why each document pertains to the comparative analysis, including how each document has been analyzed in a comparative manner and how the comparability and stringency NQTL tests have been met, both in writing and in operation;  </w:t>
      </w:r>
    </w:p>
    <w:p w14:paraId="30680452" w14:textId="4C5F0BCB" w:rsidR="00D501D5" w:rsidRPr="00D501D5" w:rsidRDefault="003A0847" w:rsidP="00D501D5">
      <w:pPr>
        <w:pStyle w:val="ListParagraph"/>
        <w:numPr>
          <w:ilvl w:val="0"/>
          <w:numId w:val="40"/>
        </w:numPr>
        <w:spacing w:after="165" w:line="247" w:lineRule="auto"/>
        <w:rPr>
          <w:rFonts w:ascii="Times New Roman" w:hAnsi="Times New Roman" w:cs="Times New Roman"/>
          <w:sz w:val="24"/>
          <w:szCs w:val="24"/>
        </w:rPr>
      </w:pPr>
      <w:r w:rsidRPr="00EA3874">
        <w:rPr>
          <w:rFonts w:ascii="Times New Roman" w:eastAsia="Times New Roman" w:hAnsi="Times New Roman" w:cs="Times New Roman"/>
          <w:sz w:val="24"/>
          <w:szCs w:val="24"/>
        </w:rPr>
        <w:t xml:space="preserve">Generalized statements concerning factors, processes, standards, procedures, etc., as well as mere recitations of the legal standard and conclusions regarding compliance, without specific supporting evidence and detailed explanations of comparative analyses;  </w:t>
      </w:r>
    </w:p>
    <w:p w14:paraId="4563EE9B" w14:textId="3DCC6C9D" w:rsidR="003A0847" w:rsidRPr="00757D14" w:rsidRDefault="003A0847" w:rsidP="00757D14">
      <w:pPr>
        <w:pStyle w:val="ListParagraph"/>
        <w:numPr>
          <w:ilvl w:val="0"/>
          <w:numId w:val="40"/>
        </w:numPr>
        <w:spacing w:after="166" w:line="247" w:lineRule="auto"/>
        <w:rPr>
          <w:rFonts w:ascii="Times New Roman" w:hAnsi="Times New Roman" w:cs="Times New Roman"/>
          <w:sz w:val="24"/>
          <w:szCs w:val="24"/>
        </w:rPr>
      </w:pPr>
      <w:r w:rsidRPr="00757D14">
        <w:rPr>
          <w:rFonts w:ascii="Times New Roman" w:eastAsia="Times New Roman" w:hAnsi="Times New Roman" w:cs="Times New Roman"/>
          <w:sz w:val="24"/>
          <w:szCs w:val="24"/>
        </w:rPr>
        <w:t xml:space="preserve">Identification of factors, evidentiary standards, and strategies without a clear description of how the factors, evidentiary standards, and strategies are defined and applied for </w:t>
      </w:r>
      <w:r w:rsidR="00FA3D0B" w:rsidRPr="00757D14">
        <w:rPr>
          <w:rFonts w:ascii="Times New Roman" w:eastAsia="Times New Roman" w:hAnsi="Times New Roman" w:cs="Times New Roman"/>
          <w:color w:val="000000"/>
          <w:sz w:val="24"/>
          <w:szCs w:val="24"/>
        </w:rPr>
        <w:t>medical/surgical</w:t>
      </w:r>
      <w:r w:rsidRPr="00757D14">
        <w:rPr>
          <w:rFonts w:ascii="Times New Roman" w:eastAsia="Times New Roman" w:hAnsi="Times New Roman" w:cs="Times New Roman"/>
          <w:sz w:val="24"/>
          <w:szCs w:val="24"/>
        </w:rPr>
        <w:t xml:space="preserve"> and MH/SUD benefits; </w:t>
      </w:r>
    </w:p>
    <w:p w14:paraId="42B11360" w14:textId="77777777" w:rsidR="00757D14" w:rsidRPr="00757D14" w:rsidRDefault="003A0847" w:rsidP="004E6D80">
      <w:pPr>
        <w:pStyle w:val="ListParagraph"/>
        <w:numPr>
          <w:ilvl w:val="0"/>
          <w:numId w:val="40"/>
        </w:numPr>
        <w:spacing w:after="165" w:line="247" w:lineRule="auto"/>
        <w:rPr>
          <w:rFonts w:ascii="Times New Roman" w:hAnsi="Times New Roman" w:cs="Times New Roman"/>
          <w:sz w:val="24"/>
          <w:szCs w:val="24"/>
        </w:rPr>
      </w:pPr>
      <w:r w:rsidRPr="00757D14">
        <w:rPr>
          <w:rFonts w:ascii="Times New Roman" w:eastAsia="Times New Roman" w:hAnsi="Times New Roman" w:cs="Times New Roman"/>
          <w:sz w:val="24"/>
          <w:szCs w:val="24"/>
        </w:rPr>
        <w:t xml:space="preserve">Identification of processes, strategies, sources, and factors without the required clear and detailed comparative analyses;  </w:t>
      </w:r>
    </w:p>
    <w:p w14:paraId="62C913EF" w14:textId="7B31DB25" w:rsidR="003A0847" w:rsidRPr="00757D14" w:rsidRDefault="003A0847" w:rsidP="004E6D80">
      <w:pPr>
        <w:pStyle w:val="ListParagraph"/>
        <w:numPr>
          <w:ilvl w:val="0"/>
          <w:numId w:val="40"/>
        </w:numPr>
        <w:spacing w:after="165" w:line="247" w:lineRule="auto"/>
        <w:rPr>
          <w:rFonts w:ascii="Times New Roman" w:hAnsi="Times New Roman" w:cs="Times New Roman"/>
          <w:sz w:val="24"/>
          <w:szCs w:val="24"/>
        </w:rPr>
      </w:pPr>
      <w:r w:rsidRPr="00757D14">
        <w:rPr>
          <w:rFonts w:ascii="Times New Roman" w:eastAsia="Times New Roman" w:hAnsi="Times New Roman" w:cs="Times New Roman"/>
          <w:sz w:val="24"/>
          <w:szCs w:val="24"/>
        </w:rPr>
        <w:t xml:space="preserve">Statements that all factors, evidentiary standards and/or criteria, processes and/or strategies are the same for </w:t>
      </w:r>
      <w:r w:rsidR="00FA3D0B" w:rsidRPr="00757D14">
        <w:rPr>
          <w:rFonts w:ascii="Times New Roman" w:eastAsia="Times New Roman" w:hAnsi="Times New Roman" w:cs="Times New Roman"/>
          <w:sz w:val="24"/>
          <w:szCs w:val="24"/>
        </w:rPr>
        <w:t>medical/surgical</w:t>
      </w:r>
      <w:r w:rsidRPr="00757D14">
        <w:rPr>
          <w:rFonts w:ascii="Times New Roman" w:eastAsia="Times New Roman" w:hAnsi="Times New Roman" w:cs="Times New Roman"/>
          <w:sz w:val="24"/>
          <w:szCs w:val="24"/>
        </w:rPr>
        <w:t xml:space="preserve"> and MH/SUD without detailed definitions and specific comparative analyses for each factor, evidentiary standard, criteria, process, strategy, </w:t>
      </w:r>
      <w:r w:rsidR="00595CFE" w:rsidRPr="00757D14">
        <w:rPr>
          <w:rFonts w:ascii="Times New Roman" w:eastAsia="Times New Roman" w:hAnsi="Times New Roman" w:cs="Times New Roman"/>
          <w:sz w:val="24"/>
          <w:szCs w:val="24"/>
        </w:rPr>
        <w:t>or other item</w:t>
      </w:r>
      <w:r w:rsidRPr="00757D14">
        <w:rPr>
          <w:rFonts w:ascii="Times New Roman" w:eastAsia="Times New Roman" w:hAnsi="Times New Roman" w:cs="Times New Roman"/>
          <w:sz w:val="24"/>
          <w:szCs w:val="24"/>
        </w:rPr>
        <w:t xml:space="preserve"> that substantiate such statements;  </w:t>
      </w:r>
    </w:p>
    <w:p w14:paraId="570E9BDA" w14:textId="4DCD0D76" w:rsidR="003A0847" w:rsidRPr="00757D14" w:rsidRDefault="003A0847" w:rsidP="00757D14">
      <w:pPr>
        <w:pStyle w:val="ListParagraph"/>
        <w:numPr>
          <w:ilvl w:val="0"/>
          <w:numId w:val="40"/>
        </w:numPr>
        <w:spacing w:after="163" w:line="247" w:lineRule="auto"/>
        <w:rPr>
          <w:rFonts w:ascii="Times New Roman" w:hAnsi="Times New Roman" w:cs="Times New Roman"/>
          <w:sz w:val="24"/>
          <w:szCs w:val="24"/>
        </w:rPr>
      </w:pPr>
      <w:r w:rsidRPr="00757D14">
        <w:rPr>
          <w:rFonts w:ascii="Times New Roman" w:eastAsia="Times New Roman" w:hAnsi="Times New Roman" w:cs="Times New Roman"/>
          <w:sz w:val="24"/>
          <w:szCs w:val="24"/>
        </w:rPr>
        <w:t>Reference to factors, evidentiary standards, and/or criteria that inherently rely on quantitative measures and/or are defined or applied in a quantitative manner, without the precise quantitative definitions; note that the MIA may require a carrier to establish specific quantitative thresholds for evidentiary standards and p</w:t>
      </w:r>
      <w:r w:rsidR="001E494F">
        <w:rPr>
          <w:rFonts w:ascii="Times New Roman" w:eastAsia="Times New Roman" w:hAnsi="Times New Roman" w:cs="Times New Roman"/>
          <w:sz w:val="24"/>
          <w:szCs w:val="24"/>
        </w:rPr>
        <w:t>erform a new comparative analyse</w:t>
      </w:r>
      <w:r w:rsidRPr="00757D14">
        <w:rPr>
          <w:rFonts w:ascii="Times New Roman" w:eastAsia="Times New Roman" w:hAnsi="Times New Roman" w:cs="Times New Roman"/>
          <w:sz w:val="24"/>
          <w:szCs w:val="24"/>
        </w:rPr>
        <w:t xml:space="preserve">s if the report is insufficient in this regard;  </w:t>
      </w:r>
    </w:p>
    <w:p w14:paraId="667DE6D7" w14:textId="6F61391B" w:rsidR="003A0847" w:rsidRPr="00757D14" w:rsidRDefault="003A0847" w:rsidP="00757D14">
      <w:pPr>
        <w:pStyle w:val="ListParagraph"/>
        <w:numPr>
          <w:ilvl w:val="0"/>
          <w:numId w:val="40"/>
        </w:numPr>
        <w:spacing w:after="163" w:line="247" w:lineRule="auto"/>
        <w:rPr>
          <w:rFonts w:ascii="Times New Roman" w:hAnsi="Times New Roman" w:cs="Times New Roman"/>
          <w:sz w:val="24"/>
          <w:szCs w:val="24"/>
        </w:rPr>
      </w:pPr>
      <w:r w:rsidRPr="00757D14">
        <w:rPr>
          <w:rFonts w:ascii="Times New Roman" w:eastAsia="Times New Roman" w:hAnsi="Times New Roman" w:cs="Times New Roman"/>
          <w:sz w:val="24"/>
          <w:szCs w:val="24"/>
        </w:rPr>
        <w:t>Responses that do not include comparative analyses, including results, and information necessary to examine the development and/or application of each NQTL, and do not clarify the methodologies utilized for such comparative analyses</w:t>
      </w:r>
      <w:r w:rsidRPr="00757D14">
        <w:rPr>
          <w:rFonts w:ascii="Times New Roman" w:eastAsia="Times New Roman" w:hAnsi="Times New Roman" w:cs="Times New Roman"/>
          <w:b/>
          <w:sz w:val="24"/>
          <w:szCs w:val="24"/>
        </w:rPr>
        <w:t xml:space="preserve">; </w:t>
      </w:r>
    </w:p>
    <w:p w14:paraId="070DAE7C" w14:textId="43FC80AF" w:rsidR="003A0847" w:rsidRPr="00757D14" w:rsidRDefault="003A0847" w:rsidP="00757D14">
      <w:pPr>
        <w:pStyle w:val="ListParagraph"/>
        <w:numPr>
          <w:ilvl w:val="0"/>
          <w:numId w:val="40"/>
        </w:numPr>
        <w:spacing w:after="159" w:line="247" w:lineRule="auto"/>
        <w:rPr>
          <w:rFonts w:ascii="Times New Roman" w:hAnsi="Times New Roman" w:cs="Times New Roman"/>
          <w:sz w:val="24"/>
          <w:szCs w:val="24"/>
        </w:rPr>
      </w:pPr>
      <w:r w:rsidRPr="00757D14">
        <w:rPr>
          <w:rFonts w:ascii="Times New Roman" w:eastAsia="Times New Roman" w:hAnsi="Times New Roman" w:cs="Times New Roman"/>
          <w:sz w:val="24"/>
          <w:szCs w:val="24"/>
        </w:rPr>
        <w:t xml:space="preserve">Analysis that is not for the applicable time period; </w:t>
      </w:r>
    </w:p>
    <w:p w14:paraId="32EB7F7F" w14:textId="47CC4A1F" w:rsidR="003A0847" w:rsidRPr="00757D14" w:rsidRDefault="003A0847" w:rsidP="00757D14">
      <w:pPr>
        <w:pStyle w:val="ListParagraph"/>
        <w:numPr>
          <w:ilvl w:val="0"/>
          <w:numId w:val="40"/>
        </w:numPr>
        <w:spacing w:after="161" w:line="247" w:lineRule="auto"/>
        <w:rPr>
          <w:rFonts w:ascii="Times New Roman" w:hAnsi="Times New Roman" w:cs="Times New Roman"/>
          <w:sz w:val="24"/>
          <w:szCs w:val="24"/>
        </w:rPr>
      </w:pPr>
      <w:r w:rsidRPr="00757D14">
        <w:rPr>
          <w:rFonts w:ascii="Times New Roman" w:eastAsia="Times New Roman" w:hAnsi="Times New Roman" w:cs="Times New Roman"/>
          <w:sz w:val="24"/>
          <w:szCs w:val="24"/>
        </w:rPr>
        <w:t xml:space="preserve">Analysis that is obsolete due to the passage of time, a change in plan structure, or for any other reason;  </w:t>
      </w:r>
    </w:p>
    <w:p w14:paraId="0F870AAC" w14:textId="2AAFA23B" w:rsidR="003A0847" w:rsidRPr="00757D14" w:rsidRDefault="003A0847" w:rsidP="00757D14">
      <w:pPr>
        <w:pStyle w:val="ListParagraph"/>
        <w:numPr>
          <w:ilvl w:val="0"/>
          <w:numId w:val="40"/>
        </w:numPr>
        <w:spacing w:after="165" w:line="247" w:lineRule="auto"/>
        <w:rPr>
          <w:rFonts w:ascii="Times New Roman" w:hAnsi="Times New Roman" w:cs="Times New Roman"/>
          <w:sz w:val="24"/>
          <w:szCs w:val="24"/>
        </w:rPr>
      </w:pPr>
      <w:r w:rsidRPr="00757D14">
        <w:rPr>
          <w:rFonts w:ascii="Times New Roman" w:eastAsia="Times New Roman" w:hAnsi="Times New Roman" w:cs="Times New Roman"/>
          <w:sz w:val="24"/>
          <w:szCs w:val="24"/>
        </w:rPr>
        <w:t xml:space="preserve">Failure to include specific data used in an analysis or audit to determine whether the NQTL is comparable to and no more stringently applied to MH/SUD benefits than to </w:t>
      </w:r>
      <w:r w:rsidR="00FA3D0B" w:rsidRPr="00757D14">
        <w:rPr>
          <w:rFonts w:ascii="Times New Roman" w:eastAsia="Times New Roman" w:hAnsi="Times New Roman" w:cs="Times New Roman"/>
          <w:sz w:val="24"/>
          <w:szCs w:val="24"/>
        </w:rPr>
        <w:t>medical/surgical</w:t>
      </w:r>
      <w:r w:rsidRPr="00757D14">
        <w:rPr>
          <w:rFonts w:ascii="Times New Roman" w:eastAsia="Times New Roman" w:hAnsi="Times New Roman" w:cs="Times New Roman"/>
          <w:sz w:val="24"/>
          <w:szCs w:val="24"/>
        </w:rPr>
        <w:t xml:space="preserve"> benefits in operation; and</w:t>
      </w:r>
    </w:p>
    <w:p w14:paraId="4AB132AA" w14:textId="5831887C" w:rsidR="003A0847" w:rsidRPr="00757D14" w:rsidRDefault="003A0847" w:rsidP="00757D14">
      <w:pPr>
        <w:pStyle w:val="ListParagraph"/>
        <w:numPr>
          <w:ilvl w:val="0"/>
          <w:numId w:val="40"/>
        </w:numPr>
        <w:spacing w:after="165" w:line="247" w:lineRule="auto"/>
        <w:rPr>
          <w:rFonts w:ascii="Times New Roman" w:hAnsi="Times New Roman" w:cs="Times New Roman"/>
          <w:sz w:val="24"/>
          <w:szCs w:val="24"/>
        </w:rPr>
      </w:pPr>
      <w:r w:rsidRPr="00757D14">
        <w:rPr>
          <w:rFonts w:ascii="Times New Roman" w:eastAsia="Times New Roman" w:hAnsi="Times New Roman" w:cs="Times New Roman"/>
          <w:sz w:val="24"/>
          <w:szCs w:val="24"/>
        </w:rPr>
        <w:t>Failure to provide an explanation for any disparities in a comparative data analyses, as outlined in the instructions for Step 7.</w:t>
      </w:r>
    </w:p>
    <w:p w14:paraId="24136F59" w14:textId="77777777" w:rsidR="00094763" w:rsidRDefault="00094763" w:rsidP="00094763">
      <w:pPr>
        <w:ind w:left="0" w:firstLine="0"/>
        <w:jc w:val="center"/>
        <w:rPr>
          <w:rFonts w:ascii="Times New Roman" w:eastAsia="Times New Roman" w:hAnsi="Times New Roman" w:cs="Times New Roman"/>
          <w:b/>
          <w:sz w:val="24"/>
          <w:szCs w:val="24"/>
          <w:u w:val="single"/>
        </w:rPr>
      </w:pPr>
    </w:p>
    <w:p w14:paraId="77A99110" w14:textId="20D654ED" w:rsidR="00FC1D58" w:rsidRPr="00801CF6" w:rsidRDefault="00094763" w:rsidP="004F0CD8">
      <w:pPr>
        <w:pStyle w:val="Heading1"/>
        <w:jc w:val="center"/>
      </w:pPr>
      <w:bookmarkStart w:id="9" w:name="_Toc229123337"/>
      <w:bookmarkStart w:id="10" w:name="_Toc229123615"/>
      <w:r>
        <w:t>NQTLs FOR</w:t>
      </w:r>
      <w:r w:rsidR="00FC1D58" w:rsidRPr="00801CF6">
        <w:t xml:space="preserve"> 2026</w:t>
      </w:r>
      <w:bookmarkEnd w:id="9"/>
      <w:bookmarkEnd w:id="10"/>
    </w:p>
    <w:p w14:paraId="3F2F1B68" w14:textId="6F5880BF" w:rsidR="00FC1D58" w:rsidRPr="00801CF6" w:rsidRDefault="00FC1D58" w:rsidP="00FC1D58">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The NQTLs </w:t>
      </w:r>
      <w:r w:rsidR="00F623EF" w:rsidRPr="00801CF6">
        <w:rPr>
          <w:rFonts w:ascii="Times New Roman" w:eastAsia="Times New Roman" w:hAnsi="Times New Roman" w:cs="Times New Roman"/>
          <w:sz w:val="24"/>
          <w:szCs w:val="24"/>
        </w:rPr>
        <w:t>for the 2026 reporting period</w:t>
      </w:r>
      <w:r w:rsidRPr="00801CF6">
        <w:rPr>
          <w:rFonts w:ascii="Times New Roman" w:eastAsia="Times New Roman" w:hAnsi="Times New Roman" w:cs="Times New Roman"/>
          <w:sz w:val="24"/>
          <w:szCs w:val="24"/>
        </w:rPr>
        <w:t xml:space="preserve"> are:</w:t>
      </w:r>
    </w:p>
    <w:p w14:paraId="0D3B43B8" w14:textId="70035151" w:rsidR="00FC1D58" w:rsidRPr="00801CF6" w:rsidRDefault="001365F5" w:rsidP="00DE3F67">
      <w:pPr>
        <w:ind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1. </w:t>
      </w:r>
      <w:r w:rsidR="00FC1D58" w:rsidRPr="00801CF6">
        <w:rPr>
          <w:rFonts w:ascii="Times New Roman" w:eastAsia="Times New Roman" w:hAnsi="Times New Roman" w:cs="Times New Roman"/>
          <w:sz w:val="24"/>
          <w:szCs w:val="24"/>
        </w:rPr>
        <w:t xml:space="preserve">In-Network </w:t>
      </w:r>
      <w:r w:rsidR="00B43626" w:rsidRPr="00801CF6">
        <w:rPr>
          <w:rFonts w:ascii="Times New Roman" w:eastAsia="Times New Roman" w:hAnsi="Times New Roman" w:cs="Times New Roman"/>
          <w:sz w:val="24"/>
          <w:szCs w:val="24"/>
        </w:rPr>
        <w:t>Provider (Including Facility)</w:t>
      </w:r>
      <w:r w:rsidR="00FC1D58" w:rsidRPr="00801CF6">
        <w:rPr>
          <w:rFonts w:ascii="Times New Roman" w:eastAsia="Times New Roman" w:hAnsi="Times New Roman" w:cs="Times New Roman"/>
          <w:sz w:val="24"/>
          <w:szCs w:val="24"/>
        </w:rPr>
        <w:t xml:space="preserve"> Reimbursement</w:t>
      </w:r>
      <w:r w:rsidR="00EB17DC" w:rsidRPr="00801CF6">
        <w:rPr>
          <w:rFonts w:ascii="Times New Roman" w:eastAsia="Times New Roman" w:hAnsi="Times New Roman" w:cs="Times New Roman"/>
          <w:sz w:val="24"/>
          <w:szCs w:val="24"/>
        </w:rPr>
        <w:t xml:space="preserve"> and Negotiations</w:t>
      </w:r>
      <w:r w:rsidR="00DE1938">
        <w:rPr>
          <w:rFonts w:ascii="Times New Roman" w:eastAsia="Times New Roman" w:hAnsi="Times New Roman" w:cs="Times New Roman"/>
          <w:sz w:val="24"/>
          <w:szCs w:val="24"/>
        </w:rPr>
        <w:t>;</w:t>
      </w:r>
      <w:r w:rsidR="00FC1D58" w:rsidRPr="00801CF6">
        <w:rPr>
          <w:rFonts w:ascii="Times New Roman" w:eastAsia="Times New Roman" w:hAnsi="Times New Roman" w:cs="Times New Roman"/>
          <w:sz w:val="24"/>
          <w:szCs w:val="24"/>
        </w:rPr>
        <w:t xml:space="preserve"> </w:t>
      </w:r>
    </w:p>
    <w:p w14:paraId="35A1A2A4" w14:textId="6A5919D0" w:rsidR="00FC1D58" w:rsidRPr="00801CF6" w:rsidRDefault="001365F5" w:rsidP="00DE3F67">
      <w:pPr>
        <w:ind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2. </w:t>
      </w:r>
      <w:r w:rsidR="00FC1D58" w:rsidRPr="00801CF6">
        <w:rPr>
          <w:rFonts w:ascii="Times New Roman" w:eastAsia="Times New Roman" w:hAnsi="Times New Roman" w:cs="Times New Roman"/>
          <w:sz w:val="24"/>
          <w:szCs w:val="24"/>
        </w:rPr>
        <w:t>Single Case Agreements/Network Gap Exception</w:t>
      </w:r>
      <w:r w:rsidR="0014157D" w:rsidRPr="00801CF6">
        <w:rPr>
          <w:rFonts w:ascii="Times New Roman" w:eastAsia="Times New Roman" w:hAnsi="Times New Roman" w:cs="Times New Roman"/>
          <w:sz w:val="24"/>
          <w:szCs w:val="24"/>
        </w:rPr>
        <w:t>s</w:t>
      </w:r>
      <w:r w:rsidR="00EB17DC" w:rsidRPr="00801CF6">
        <w:rPr>
          <w:rFonts w:ascii="Times New Roman" w:eastAsia="Times New Roman" w:hAnsi="Times New Roman" w:cs="Times New Roman"/>
          <w:sz w:val="24"/>
          <w:szCs w:val="24"/>
        </w:rPr>
        <w:t xml:space="preserve"> and Negotiations</w:t>
      </w:r>
      <w:r w:rsidR="00DE1938">
        <w:rPr>
          <w:rFonts w:ascii="Times New Roman" w:eastAsia="Times New Roman" w:hAnsi="Times New Roman" w:cs="Times New Roman"/>
          <w:sz w:val="24"/>
          <w:szCs w:val="24"/>
        </w:rPr>
        <w:t>;</w:t>
      </w:r>
    </w:p>
    <w:p w14:paraId="14E93B48" w14:textId="05EE86CB" w:rsidR="00FC1D58" w:rsidRPr="00801CF6" w:rsidRDefault="001365F5" w:rsidP="00DE3F67">
      <w:pPr>
        <w:ind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3. </w:t>
      </w:r>
      <w:r w:rsidR="00302DDE">
        <w:rPr>
          <w:rFonts w:ascii="Times New Roman" w:eastAsia="Times New Roman" w:hAnsi="Times New Roman" w:cs="Times New Roman"/>
          <w:sz w:val="24"/>
          <w:szCs w:val="24"/>
        </w:rPr>
        <w:t xml:space="preserve">Coverage of </w:t>
      </w:r>
      <w:r w:rsidR="00FC1D58" w:rsidRPr="00801CF6">
        <w:rPr>
          <w:rFonts w:ascii="Times New Roman" w:eastAsia="Times New Roman" w:hAnsi="Times New Roman" w:cs="Times New Roman"/>
          <w:sz w:val="24"/>
          <w:szCs w:val="24"/>
        </w:rPr>
        <w:t>Crisis and Emergency Services</w:t>
      </w:r>
      <w:r w:rsidR="00DE1938">
        <w:rPr>
          <w:rFonts w:ascii="Times New Roman" w:eastAsia="Times New Roman" w:hAnsi="Times New Roman" w:cs="Times New Roman"/>
          <w:sz w:val="24"/>
          <w:szCs w:val="24"/>
        </w:rPr>
        <w:t>;</w:t>
      </w:r>
      <w:r w:rsidR="00FC1D58" w:rsidRPr="00801CF6">
        <w:rPr>
          <w:rFonts w:ascii="Times New Roman" w:eastAsia="Times New Roman" w:hAnsi="Times New Roman" w:cs="Times New Roman"/>
          <w:sz w:val="24"/>
          <w:szCs w:val="24"/>
        </w:rPr>
        <w:t xml:space="preserve"> </w:t>
      </w:r>
    </w:p>
    <w:p w14:paraId="5293FA7E" w14:textId="1CB319D4" w:rsidR="00FC1D58" w:rsidRPr="00801CF6" w:rsidRDefault="001365F5" w:rsidP="00DE3F67">
      <w:pPr>
        <w:ind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lastRenderedPageBreak/>
        <w:t xml:space="preserve">4. </w:t>
      </w:r>
      <w:r w:rsidR="00FC1D58" w:rsidRPr="00801CF6">
        <w:rPr>
          <w:rFonts w:ascii="Times New Roman" w:eastAsia="Times New Roman" w:hAnsi="Times New Roman" w:cs="Times New Roman"/>
          <w:sz w:val="24"/>
          <w:szCs w:val="24"/>
        </w:rPr>
        <w:t>Experimental/Investigational</w:t>
      </w:r>
      <w:r w:rsidR="00643F48" w:rsidRPr="00801CF6">
        <w:rPr>
          <w:rFonts w:ascii="Times New Roman" w:eastAsia="Times New Roman" w:hAnsi="Times New Roman" w:cs="Times New Roman"/>
          <w:sz w:val="24"/>
          <w:szCs w:val="24"/>
        </w:rPr>
        <w:t>/Unproven</w:t>
      </w:r>
      <w:r w:rsidR="00FC1D58" w:rsidRPr="00801CF6">
        <w:rPr>
          <w:rFonts w:ascii="Times New Roman" w:eastAsia="Times New Roman" w:hAnsi="Times New Roman" w:cs="Times New Roman"/>
          <w:sz w:val="24"/>
          <w:szCs w:val="24"/>
        </w:rPr>
        <w:t xml:space="preserve"> </w:t>
      </w:r>
      <w:r w:rsidR="009A24F7">
        <w:rPr>
          <w:rFonts w:ascii="Times New Roman" w:eastAsia="Times New Roman" w:hAnsi="Times New Roman" w:cs="Times New Roman"/>
          <w:sz w:val="24"/>
          <w:szCs w:val="24"/>
        </w:rPr>
        <w:t>Services</w:t>
      </w:r>
      <w:r w:rsidR="00DE1938">
        <w:rPr>
          <w:rFonts w:ascii="Times New Roman" w:eastAsia="Times New Roman" w:hAnsi="Times New Roman" w:cs="Times New Roman"/>
          <w:sz w:val="24"/>
          <w:szCs w:val="24"/>
        </w:rPr>
        <w:t>; and</w:t>
      </w:r>
    </w:p>
    <w:p w14:paraId="11FD9C9A" w14:textId="53745025" w:rsidR="00FC1D58" w:rsidRPr="00801CF6" w:rsidRDefault="001365F5" w:rsidP="00DE3F67">
      <w:pPr>
        <w:ind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5. </w:t>
      </w:r>
      <w:r w:rsidR="00FC1D58" w:rsidRPr="00801CF6">
        <w:rPr>
          <w:rFonts w:ascii="Times New Roman" w:eastAsia="Times New Roman" w:hAnsi="Times New Roman" w:cs="Times New Roman"/>
          <w:sz w:val="24"/>
          <w:szCs w:val="24"/>
        </w:rPr>
        <w:t>Medical Necessity Guidelines/Criteria</w:t>
      </w:r>
      <w:r w:rsidR="00AC5CFA">
        <w:rPr>
          <w:rFonts w:ascii="Times New Roman" w:eastAsia="Times New Roman" w:hAnsi="Times New Roman" w:cs="Times New Roman"/>
          <w:sz w:val="24"/>
          <w:szCs w:val="24"/>
        </w:rPr>
        <w:t xml:space="preserve"> and ASAM Criteria</w:t>
      </w:r>
      <w:r w:rsidR="00DE1938">
        <w:rPr>
          <w:rFonts w:ascii="Times New Roman" w:eastAsia="Times New Roman" w:hAnsi="Times New Roman" w:cs="Times New Roman"/>
          <w:sz w:val="24"/>
          <w:szCs w:val="24"/>
        </w:rPr>
        <w:t>.</w:t>
      </w:r>
    </w:p>
    <w:p w14:paraId="440830F3" w14:textId="61BFB68E" w:rsidR="00034655" w:rsidRPr="00801CF6" w:rsidRDefault="002762B1" w:rsidP="00FC1D5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analyse</w:t>
      </w:r>
      <w:r w:rsidR="00FC1D58" w:rsidRPr="00801CF6">
        <w:rPr>
          <w:rFonts w:ascii="Times New Roman" w:eastAsia="Times New Roman" w:hAnsi="Times New Roman" w:cs="Times New Roman"/>
          <w:sz w:val="24"/>
          <w:szCs w:val="24"/>
        </w:rPr>
        <w:t xml:space="preserve">s of these NQTLs cover calendar year 2025. </w:t>
      </w:r>
    </w:p>
    <w:p w14:paraId="3F2B4658" w14:textId="77777777" w:rsidR="00094763" w:rsidRDefault="00094763" w:rsidP="00094763">
      <w:pPr>
        <w:ind w:left="0" w:firstLine="0"/>
        <w:jc w:val="center"/>
        <w:rPr>
          <w:rFonts w:ascii="Times New Roman" w:eastAsia="Times New Roman" w:hAnsi="Times New Roman" w:cs="Times New Roman"/>
          <w:b/>
          <w:sz w:val="24"/>
          <w:szCs w:val="24"/>
        </w:rPr>
      </w:pPr>
    </w:p>
    <w:p w14:paraId="07CD29A1" w14:textId="55FCCF5E" w:rsidR="00FB5073" w:rsidRPr="00801CF6" w:rsidRDefault="00932842" w:rsidP="004F0CD8">
      <w:pPr>
        <w:pStyle w:val="Heading1"/>
        <w:jc w:val="center"/>
      </w:pPr>
      <w:bookmarkStart w:id="11" w:name="_Toc229123338"/>
      <w:bookmarkStart w:id="12" w:name="_Toc229123616"/>
      <w:r>
        <w:t>DATA SUPPLEMENTS</w:t>
      </w:r>
      <w:r w:rsidR="00EA1B7A">
        <w:t xml:space="preserve"> </w:t>
      </w:r>
      <w:bookmarkEnd w:id="11"/>
      <w:bookmarkEnd w:id="12"/>
    </w:p>
    <w:p w14:paraId="2C79FF85" w14:textId="5565A679" w:rsidR="00A015EC" w:rsidRPr="00801CF6" w:rsidRDefault="00FB5073" w:rsidP="0078489A">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The </w:t>
      </w:r>
      <w:r w:rsidR="000670D6">
        <w:rPr>
          <w:rFonts w:ascii="Times New Roman" w:eastAsia="Times New Roman" w:hAnsi="Times New Roman" w:cs="Times New Roman"/>
          <w:sz w:val="24"/>
          <w:szCs w:val="24"/>
        </w:rPr>
        <w:t>standardized data</w:t>
      </w:r>
      <w:r w:rsidR="00932842">
        <w:rPr>
          <w:rFonts w:ascii="Times New Roman" w:eastAsia="Times New Roman" w:hAnsi="Times New Roman" w:cs="Times New Roman"/>
          <w:sz w:val="24"/>
          <w:szCs w:val="24"/>
        </w:rPr>
        <w:t xml:space="preserve"> supplement</w:t>
      </w:r>
      <w:r w:rsidR="000670D6">
        <w:rPr>
          <w:rFonts w:ascii="Times New Roman" w:eastAsia="Times New Roman" w:hAnsi="Times New Roman" w:cs="Times New Roman"/>
          <w:sz w:val="24"/>
          <w:szCs w:val="24"/>
        </w:rPr>
        <w:t xml:space="preserve"> </w:t>
      </w:r>
      <w:r w:rsidR="00355A01" w:rsidRPr="00801CF6">
        <w:rPr>
          <w:rFonts w:ascii="Times New Roman" w:eastAsia="Times New Roman" w:hAnsi="Times New Roman" w:cs="Times New Roman"/>
          <w:sz w:val="24"/>
          <w:szCs w:val="24"/>
        </w:rPr>
        <w:t>templates</w:t>
      </w:r>
      <w:r w:rsidR="006A5DF7" w:rsidRPr="00801CF6">
        <w:rPr>
          <w:rFonts w:ascii="Times New Roman" w:eastAsia="Times New Roman" w:hAnsi="Times New Roman" w:cs="Times New Roman"/>
          <w:sz w:val="24"/>
          <w:szCs w:val="24"/>
        </w:rPr>
        <w:t xml:space="preserve"> </w:t>
      </w:r>
      <w:r w:rsidR="00D93283" w:rsidRPr="00801CF6">
        <w:rPr>
          <w:rFonts w:ascii="Times New Roman" w:eastAsia="Times New Roman" w:hAnsi="Times New Roman" w:cs="Times New Roman"/>
          <w:sz w:val="24"/>
          <w:szCs w:val="24"/>
        </w:rPr>
        <w:t xml:space="preserve">and </w:t>
      </w:r>
      <w:r w:rsidR="000670D6">
        <w:rPr>
          <w:rFonts w:ascii="Times New Roman" w:eastAsia="Times New Roman" w:hAnsi="Times New Roman" w:cs="Times New Roman"/>
          <w:sz w:val="24"/>
          <w:szCs w:val="24"/>
        </w:rPr>
        <w:t>instructions</w:t>
      </w:r>
      <w:r w:rsidR="00D93283" w:rsidRPr="00801CF6">
        <w:rPr>
          <w:rFonts w:ascii="Times New Roman" w:eastAsia="Times New Roman" w:hAnsi="Times New Roman" w:cs="Times New Roman"/>
          <w:sz w:val="24"/>
          <w:szCs w:val="24"/>
        </w:rPr>
        <w:t xml:space="preserve"> </w:t>
      </w:r>
      <w:r w:rsidR="006A5DF7" w:rsidRPr="00801CF6">
        <w:rPr>
          <w:rFonts w:ascii="Times New Roman" w:eastAsia="Times New Roman" w:hAnsi="Times New Roman" w:cs="Times New Roman"/>
          <w:sz w:val="24"/>
          <w:szCs w:val="24"/>
        </w:rPr>
        <w:t>for the 2026 reporting period</w:t>
      </w:r>
      <w:r w:rsidR="00932842">
        <w:rPr>
          <w:rFonts w:ascii="Times New Roman" w:eastAsia="Times New Roman" w:hAnsi="Times New Roman" w:cs="Times New Roman"/>
          <w:sz w:val="24"/>
          <w:szCs w:val="24"/>
        </w:rPr>
        <w:t xml:space="preserve"> (calendar year 2025)</w:t>
      </w:r>
      <w:r w:rsidR="00B35A02">
        <w:rPr>
          <w:rFonts w:ascii="Times New Roman" w:eastAsia="Times New Roman" w:hAnsi="Times New Roman" w:cs="Times New Roman"/>
          <w:sz w:val="24"/>
          <w:szCs w:val="24"/>
        </w:rPr>
        <w:t>, which are embedded below in this document,</w:t>
      </w:r>
      <w:r w:rsidR="00355A01" w:rsidRPr="00801CF6">
        <w:rPr>
          <w:rFonts w:ascii="Times New Roman" w:eastAsia="Times New Roman" w:hAnsi="Times New Roman" w:cs="Times New Roman"/>
          <w:sz w:val="24"/>
          <w:szCs w:val="24"/>
        </w:rPr>
        <w:t xml:space="preserve"> are</w:t>
      </w:r>
      <w:r w:rsidRPr="00801CF6">
        <w:rPr>
          <w:rFonts w:ascii="Times New Roman" w:eastAsia="Times New Roman" w:hAnsi="Times New Roman" w:cs="Times New Roman"/>
          <w:sz w:val="24"/>
          <w:szCs w:val="24"/>
        </w:rPr>
        <w:t>:</w:t>
      </w:r>
    </w:p>
    <w:p w14:paraId="4B239CDB" w14:textId="645DC266" w:rsidR="00A015EC" w:rsidRPr="00801CF6" w:rsidRDefault="00A015EC" w:rsidP="0078489A">
      <w:pPr>
        <w:pStyle w:val="ListParagraph"/>
        <w:numPr>
          <w:ilvl w:val="0"/>
          <w:numId w:val="29"/>
        </w:numPr>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Overview of Claims Data</w:t>
      </w:r>
      <w:r w:rsidR="008F2766">
        <w:rPr>
          <w:rFonts w:ascii="Times New Roman" w:eastAsia="Times New Roman" w:hAnsi="Times New Roman" w:cs="Times New Roman"/>
          <w:sz w:val="24"/>
          <w:szCs w:val="24"/>
        </w:rPr>
        <w:t>:</w:t>
      </w:r>
      <w:r w:rsidR="00355A01" w:rsidRPr="00801CF6">
        <w:rPr>
          <w:rFonts w:ascii="Times New Roman" w:eastAsia="Times New Roman" w:hAnsi="Times New Roman" w:cs="Times New Roman"/>
          <w:sz w:val="24"/>
          <w:szCs w:val="24"/>
        </w:rPr>
        <w:t xml:space="preserve"> </w:t>
      </w:r>
      <w:r w:rsidR="00D93283" w:rsidRPr="00801CF6">
        <w:rPr>
          <w:rFonts w:ascii="Times New Roman" w:eastAsia="Times New Roman" w:hAnsi="Times New Roman" w:cs="Times New Roman"/>
          <w:sz w:val="24"/>
          <w:szCs w:val="24"/>
        </w:rPr>
        <w:t>Template</w:t>
      </w:r>
      <w:r w:rsidR="00877217" w:rsidRPr="00801CF6">
        <w:rPr>
          <w:rFonts w:ascii="Times New Roman" w:eastAsia="Times New Roman" w:hAnsi="Times New Roman" w:cs="Times New Roman"/>
          <w:sz w:val="24"/>
          <w:szCs w:val="24"/>
        </w:rPr>
        <w:t>, Definitions, and Instructions</w:t>
      </w:r>
      <w:r w:rsidR="0062644C">
        <w:rPr>
          <w:rFonts w:ascii="Times New Roman" w:eastAsia="Times New Roman" w:hAnsi="Times New Roman" w:cs="Times New Roman"/>
          <w:sz w:val="24"/>
          <w:szCs w:val="24"/>
        </w:rPr>
        <w:t>;</w:t>
      </w:r>
    </w:p>
    <w:p w14:paraId="414BCD2E" w14:textId="14AAC615" w:rsidR="00FB5073" w:rsidRPr="00801CF6" w:rsidRDefault="0059472A" w:rsidP="0078489A">
      <w:pPr>
        <w:pStyle w:val="ListParagraph"/>
        <w:numPr>
          <w:ilvl w:val="0"/>
          <w:numId w:val="31"/>
        </w:numPr>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 1</w:t>
      </w:r>
      <w:r w:rsidR="00432DF7" w:rsidRPr="00801CF6">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 </w:t>
      </w:r>
      <w:r w:rsidR="008F2766">
        <w:rPr>
          <w:rFonts w:ascii="Times New Roman" w:eastAsia="Times New Roman" w:hAnsi="Times New Roman" w:cs="Times New Roman"/>
          <w:color w:val="000000"/>
          <w:sz w:val="24"/>
          <w:szCs w:val="24"/>
        </w:rPr>
        <w:t xml:space="preserve">Office Visit Professional, </w:t>
      </w:r>
      <w:r w:rsidR="00FE14EF">
        <w:rPr>
          <w:rFonts w:ascii="Times New Roman" w:eastAsia="Times New Roman" w:hAnsi="Times New Roman" w:cs="Times New Roman"/>
          <w:color w:val="000000"/>
          <w:sz w:val="24"/>
          <w:szCs w:val="24"/>
        </w:rPr>
        <w:t>In</w:t>
      </w:r>
      <w:r w:rsidR="00932842">
        <w:rPr>
          <w:rFonts w:ascii="Times New Roman" w:eastAsia="Times New Roman" w:hAnsi="Times New Roman" w:cs="Times New Roman"/>
          <w:color w:val="000000"/>
          <w:sz w:val="24"/>
          <w:szCs w:val="24"/>
        </w:rPr>
        <w:t>-</w:t>
      </w:r>
      <w:r w:rsidR="00FE14EF">
        <w:rPr>
          <w:rFonts w:ascii="Times New Roman" w:eastAsia="Times New Roman" w:hAnsi="Times New Roman" w:cs="Times New Roman"/>
          <w:color w:val="000000"/>
          <w:sz w:val="24"/>
          <w:szCs w:val="24"/>
        </w:rPr>
        <w:t>Network Reimbursement</w:t>
      </w:r>
      <w:r w:rsidR="00877217" w:rsidRPr="00801CF6">
        <w:rPr>
          <w:rFonts w:ascii="Times New Roman" w:eastAsia="Times New Roman" w:hAnsi="Times New Roman" w:cs="Times New Roman"/>
          <w:color w:val="000000"/>
          <w:sz w:val="24"/>
          <w:szCs w:val="24"/>
        </w:rPr>
        <w:t xml:space="preserve"> </w:t>
      </w:r>
      <w:r w:rsidR="00FE14EF">
        <w:rPr>
          <w:rFonts w:ascii="Times New Roman" w:eastAsia="Times New Roman" w:hAnsi="Times New Roman" w:cs="Times New Roman"/>
          <w:color w:val="000000"/>
          <w:sz w:val="24"/>
          <w:szCs w:val="24"/>
        </w:rPr>
        <w:t>Rates Indexed to Medicare</w:t>
      </w:r>
      <w:r w:rsidR="008F2766">
        <w:rPr>
          <w:rFonts w:ascii="Times New Roman" w:eastAsia="Times New Roman" w:hAnsi="Times New Roman" w:cs="Times New Roman"/>
          <w:color w:val="000000"/>
          <w:sz w:val="24"/>
          <w:szCs w:val="24"/>
        </w:rPr>
        <w:t>:</w:t>
      </w:r>
      <w:r w:rsidR="00FE14EF">
        <w:rPr>
          <w:rFonts w:ascii="Times New Roman" w:eastAsia="Times New Roman" w:hAnsi="Times New Roman" w:cs="Times New Roman"/>
          <w:color w:val="000000"/>
          <w:sz w:val="24"/>
          <w:szCs w:val="24"/>
        </w:rPr>
        <w:t xml:space="preserve"> </w:t>
      </w:r>
      <w:r w:rsidR="008F2766">
        <w:rPr>
          <w:rFonts w:ascii="Times New Roman" w:eastAsia="Times New Roman" w:hAnsi="Times New Roman" w:cs="Times New Roman"/>
          <w:color w:val="000000"/>
          <w:sz w:val="24"/>
          <w:szCs w:val="24"/>
        </w:rPr>
        <w:t>Template,</w:t>
      </w:r>
      <w:r w:rsidR="00877217" w:rsidRPr="00801CF6">
        <w:rPr>
          <w:rFonts w:ascii="Times New Roman" w:eastAsia="Times New Roman" w:hAnsi="Times New Roman" w:cs="Times New Roman"/>
          <w:color w:val="000000"/>
          <w:sz w:val="24"/>
          <w:szCs w:val="24"/>
        </w:rPr>
        <w:t xml:space="preserve"> Definitions, and Instructions</w:t>
      </w:r>
      <w:r w:rsidR="0062644C">
        <w:rPr>
          <w:rFonts w:ascii="Times New Roman" w:eastAsia="Times New Roman" w:hAnsi="Times New Roman" w:cs="Times New Roman"/>
          <w:color w:val="000000"/>
          <w:sz w:val="24"/>
          <w:szCs w:val="24"/>
        </w:rPr>
        <w:t>;</w:t>
      </w:r>
    </w:p>
    <w:p w14:paraId="140B3B73" w14:textId="2B45C058" w:rsidR="00FB5073" w:rsidRPr="00801CF6" w:rsidRDefault="0059472A" w:rsidP="0078489A">
      <w:pPr>
        <w:pStyle w:val="ListParagraph"/>
        <w:numPr>
          <w:ilvl w:val="0"/>
          <w:numId w:val="31"/>
        </w:numPr>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 2</w:t>
      </w:r>
      <w:r w:rsidR="00432DF7" w:rsidRPr="00801CF6">
        <w:rPr>
          <w:rFonts w:ascii="Times New Roman" w:eastAsia="Times New Roman" w:hAnsi="Times New Roman" w:cs="Times New Roman"/>
          <w:color w:val="000000"/>
          <w:sz w:val="24"/>
          <w:szCs w:val="24"/>
        </w:rPr>
        <w:t>,</w:t>
      </w:r>
      <w:r w:rsidR="00801CF6" w:rsidRPr="00801CF6">
        <w:rPr>
          <w:rFonts w:ascii="Times New Roman" w:eastAsia="Times New Roman" w:hAnsi="Times New Roman" w:cs="Times New Roman"/>
          <w:color w:val="000000"/>
          <w:sz w:val="24"/>
          <w:szCs w:val="24"/>
        </w:rPr>
        <w:t xml:space="preserve"> </w:t>
      </w:r>
      <w:r w:rsidR="0070241D">
        <w:rPr>
          <w:rFonts w:ascii="Times New Roman" w:eastAsia="Times New Roman" w:hAnsi="Times New Roman" w:cs="Times New Roman"/>
          <w:color w:val="000000"/>
          <w:sz w:val="24"/>
          <w:szCs w:val="24"/>
        </w:rPr>
        <w:t>Out</w:t>
      </w:r>
      <w:r w:rsidR="008F2766">
        <w:rPr>
          <w:rFonts w:ascii="Times New Roman" w:eastAsia="Times New Roman" w:hAnsi="Times New Roman" w:cs="Times New Roman"/>
          <w:color w:val="000000"/>
          <w:sz w:val="24"/>
          <w:szCs w:val="24"/>
        </w:rPr>
        <w:t>-</w:t>
      </w:r>
      <w:r w:rsidR="0070241D">
        <w:rPr>
          <w:rFonts w:ascii="Times New Roman" w:eastAsia="Times New Roman" w:hAnsi="Times New Roman" w:cs="Times New Roman"/>
          <w:color w:val="000000"/>
          <w:sz w:val="24"/>
          <w:szCs w:val="24"/>
        </w:rPr>
        <w:t>of</w:t>
      </w:r>
      <w:r w:rsidR="008F2766">
        <w:rPr>
          <w:rFonts w:ascii="Times New Roman" w:eastAsia="Times New Roman" w:hAnsi="Times New Roman" w:cs="Times New Roman"/>
          <w:color w:val="000000"/>
          <w:sz w:val="24"/>
          <w:szCs w:val="24"/>
        </w:rPr>
        <w:t>-</w:t>
      </w:r>
      <w:r w:rsidR="0070241D">
        <w:rPr>
          <w:rFonts w:ascii="Times New Roman" w:eastAsia="Times New Roman" w:hAnsi="Times New Roman" w:cs="Times New Roman"/>
          <w:color w:val="000000"/>
          <w:sz w:val="24"/>
          <w:szCs w:val="24"/>
        </w:rPr>
        <w:t>Network</w:t>
      </w:r>
      <w:r w:rsidR="00E56A73">
        <w:rPr>
          <w:rFonts w:ascii="Times New Roman" w:eastAsia="Times New Roman" w:hAnsi="Times New Roman" w:cs="Times New Roman"/>
          <w:color w:val="000000"/>
          <w:sz w:val="24"/>
          <w:szCs w:val="24"/>
        </w:rPr>
        <w:t xml:space="preserve"> Utilization</w:t>
      </w:r>
      <w:r w:rsidR="0070241D">
        <w:rPr>
          <w:rFonts w:ascii="Times New Roman" w:eastAsia="Times New Roman" w:hAnsi="Times New Roman" w:cs="Times New Roman"/>
          <w:color w:val="000000"/>
          <w:sz w:val="24"/>
          <w:szCs w:val="24"/>
        </w:rPr>
        <w:t xml:space="preserve"> </w:t>
      </w:r>
      <w:r w:rsidR="00877217" w:rsidRPr="00801CF6">
        <w:rPr>
          <w:rFonts w:ascii="Times New Roman" w:eastAsia="Times New Roman" w:hAnsi="Times New Roman" w:cs="Times New Roman"/>
          <w:color w:val="000000"/>
          <w:sz w:val="24"/>
          <w:szCs w:val="24"/>
        </w:rPr>
        <w:t>&amp; Network Gap Exception</w:t>
      </w:r>
      <w:r w:rsidR="0070241D">
        <w:rPr>
          <w:rFonts w:ascii="Times New Roman" w:eastAsia="Times New Roman" w:hAnsi="Times New Roman" w:cs="Times New Roman"/>
          <w:color w:val="000000"/>
          <w:sz w:val="24"/>
          <w:szCs w:val="24"/>
        </w:rPr>
        <w:t xml:space="preserve"> Utilization</w:t>
      </w:r>
      <w:r w:rsidR="008F2766">
        <w:rPr>
          <w:rFonts w:ascii="Times New Roman" w:eastAsia="Times New Roman" w:hAnsi="Times New Roman" w:cs="Times New Roman"/>
          <w:color w:val="000000"/>
          <w:sz w:val="24"/>
          <w:szCs w:val="24"/>
        </w:rPr>
        <w:t>:</w:t>
      </w:r>
      <w:r w:rsidR="00877217" w:rsidRPr="00801CF6">
        <w:rPr>
          <w:rFonts w:ascii="Times New Roman" w:eastAsia="Times New Roman" w:hAnsi="Times New Roman" w:cs="Times New Roman"/>
          <w:color w:val="000000"/>
          <w:sz w:val="24"/>
          <w:szCs w:val="24"/>
        </w:rPr>
        <w:t xml:space="preserve"> Template, Definitions, and Instructions</w:t>
      </w:r>
      <w:r w:rsidR="0062644C">
        <w:rPr>
          <w:rFonts w:ascii="Times New Roman" w:eastAsia="Times New Roman" w:hAnsi="Times New Roman" w:cs="Times New Roman"/>
          <w:color w:val="000000"/>
          <w:sz w:val="24"/>
          <w:szCs w:val="24"/>
        </w:rPr>
        <w:t>;</w:t>
      </w:r>
    </w:p>
    <w:p w14:paraId="0DF4672C" w14:textId="54A5DBE7" w:rsidR="00FB5073" w:rsidRPr="00801CF6" w:rsidRDefault="0059472A" w:rsidP="0078489A">
      <w:pPr>
        <w:pStyle w:val="ListParagraph"/>
        <w:numPr>
          <w:ilvl w:val="0"/>
          <w:numId w:val="31"/>
        </w:numPr>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 3</w:t>
      </w:r>
      <w:r w:rsidR="00432DF7" w:rsidRPr="00801CF6">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 </w:t>
      </w:r>
      <w:r w:rsidR="00877217" w:rsidRPr="00801CF6">
        <w:rPr>
          <w:rFonts w:ascii="Times New Roman" w:eastAsia="Times New Roman" w:hAnsi="Times New Roman" w:cs="Times New Roman"/>
          <w:color w:val="000000"/>
          <w:sz w:val="24"/>
          <w:szCs w:val="24"/>
        </w:rPr>
        <w:t>Crisis and Emergency Services</w:t>
      </w:r>
      <w:r w:rsidR="008F2766">
        <w:rPr>
          <w:rFonts w:ascii="Times New Roman" w:eastAsia="Times New Roman" w:hAnsi="Times New Roman" w:cs="Times New Roman"/>
          <w:color w:val="000000"/>
          <w:sz w:val="24"/>
          <w:szCs w:val="24"/>
        </w:rPr>
        <w:t>:</w:t>
      </w:r>
      <w:r w:rsidR="00877217" w:rsidRPr="00801CF6">
        <w:rPr>
          <w:rFonts w:ascii="Times New Roman" w:eastAsia="Times New Roman" w:hAnsi="Times New Roman" w:cs="Times New Roman"/>
          <w:color w:val="000000"/>
          <w:sz w:val="24"/>
          <w:szCs w:val="24"/>
        </w:rPr>
        <w:t xml:space="preserve"> Template, Definitions</w:t>
      </w:r>
      <w:r w:rsidR="00432DF7" w:rsidRPr="00801CF6">
        <w:rPr>
          <w:rFonts w:ascii="Times New Roman" w:eastAsia="Times New Roman" w:hAnsi="Times New Roman" w:cs="Times New Roman"/>
          <w:color w:val="000000"/>
          <w:sz w:val="24"/>
          <w:szCs w:val="24"/>
        </w:rPr>
        <w:t>,</w:t>
      </w:r>
      <w:r w:rsidR="0078489A">
        <w:rPr>
          <w:rFonts w:ascii="Times New Roman" w:eastAsia="Times New Roman" w:hAnsi="Times New Roman" w:cs="Times New Roman"/>
          <w:color w:val="000000"/>
          <w:sz w:val="24"/>
          <w:szCs w:val="24"/>
        </w:rPr>
        <w:t xml:space="preserve"> </w:t>
      </w:r>
      <w:r w:rsidR="00877217" w:rsidRPr="00801CF6">
        <w:rPr>
          <w:rFonts w:ascii="Times New Roman" w:eastAsia="Times New Roman" w:hAnsi="Times New Roman" w:cs="Times New Roman"/>
          <w:color w:val="000000"/>
          <w:sz w:val="24"/>
          <w:szCs w:val="24"/>
        </w:rPr>
        <w:t>and Instructions</w:t>
      </w:r>
      <w:r w:rsidR="0062644C">
        <w:rPr>
          <w:rFonts w:ascii="Times New Roman" w:eastAsia="Times New Roman" w:hAnsi="Times New Roman" w:cs="Times New Roman"/>
          <w:color w:val="000000"/>
          <w:sz w:val="24"/>
          <w:szCs w:val="24"/>
        </w:rPr>
        <w:t>;</w:t>
      </w:r>
    </w:p>
    <w:p w14:paraId="6D74ACCA" w14:textId="77777777" w:rsidR="0078489A" w:rsidRDefault="0059472A" w:rsidP="0078489A">
      <w:pPr>
        <w:pStyle w:val="ListParagraph"/>
        <w:numPr>
          <w:ilvl w:val="0"/>
          <w:numId w:val="31"/>
        </w:numPr>
        <w:pBdr>
          <w:top w:val="nil"/>
          <w:left w:val="nil"/>
          <w:bottom w:val="nil"/>
          <w:right w:val="nil"/>
          <w:between w:val="nil"/>
        </w:pBdr>
        <w:spacing w:after="0" w:line="240" w:lineRule="auto"/>
        <w:ind w:right="-126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 4</w:t>
      </w:r>
      <w:r w:rsidR="00432DF7" w:rsidRPr="00801CF6">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 </w:t>
      </w:r>
      <w:r w:rsidR="00FB5073" w:rsidRPr="00801CF6">
        <w:rPr>
          <w:rFonts w:ascii="Times New Roman" w:eastAsia="Times New Roman" w:hAnsi="Times New Roman" w:cs="Times New Roman"/>
          <w:color w:val="000000"/>
          <w:sz w:val="24"/>
          <w:szCs w:val="24"/>
        </w:rPr>
        <w:t>Experimental/Investigational/Unproven</w:t>
      </w:r>
      <w:r w:rsidR="008F2766">
        <w:rPr>
          <w:rFonts w:ascii="Times New Roman" w:eastAsia="Times New Roman" w:hAnsi="Times New Roman" w:cs="Times New Roman"/>
          <w:color w:val="000000"/>
          <w:sz w:val="24"/>
          <w:szCs w:val="24"/>
        </w:rPr>
        <w:t xml:space="preserve"> Treatments:</w:t>
      </w:r>
      <w:r w:rsidR="00FB5073" w:rsidRPr="00801CF6">
        <w:rPr>
          <w:rFonts w:ascii="Times New Roman" w:eastAsia="Times New Roman" w:hAnsi="Times New Roman" w:cs="Times New Roman"/>
          <w:color w:val="000000"/>
          <w:sz w:val="24"/>
          <w:szCs w:val="24"/>
        </w:rPr>
        <w:t xml:space="preserve"> </w:t>
      </w:r>
      <w:r w:rsidR="00877217" w:rsidRPr="00801CF6">
        <w:rPr>
          <w:rFonts w:ascii="Times New Roman" w:eastAsia="Times New Roman" w:hAnsi="Times New Roman" w:cs="Times New Roman"/>
          <w:color w:val="000000"/>
          <w:sz w:val="24"/>
          <w:szCs w:val="24"/>
        </w:rPr>
        <w:t xml:space="preserve">Template and </w:t>
      </w:r>
    </w:p>
    <w:p w14:paraId="7426C5E4" w14:textId="0870E102" w:rsidR="00FB5073" w:rsidRPr="00801CF6" w:rsidRDefault="00877217" w:rsidP="0078489A">
      <w:pPr>
        <w:pStyle w:val="ListParagraph"/>
        <w:pBdr>
          <w:top w:val="nil"/>
          <w:left w:val="nil"/>
          <w:bottom w:val="nil"/>
          <w:right w:val="nil"/>
          <w:between w:val="nil"/>
        </w:pBdr>
        <w:spacing w:after="0" w:line="240" w:lineRule="auto"/>
        <w:ind w:left="1080" w:right="-12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Instructions</w:t>
      </w:r>
      <w:r w:rsidR="0062644C">
        <w:rPr>
          <w:rFonts w:ascii="Times New Roman" w:eastAsia="Times New Roman" w:hAnsi="Times New Roman" w:cs="Times New Roman"/>
          <w:color w:val="000000"/>
          <w:sz w:val="24"/>
          <w:szCs w:val="24"/>
        </w:rPr>
        <w:t>;</w:t>
      </w:r>
    </w:p>
    <w:p w14:paraId="65AC1F9D" w14:textId="77777777" w:rsidR="0078489A" w:rsidRDefault="0059472A" w:rsidP="0078489A">
      <w:pPr>
        <w:pStyle w:val="ListParagraph"/>
        <w:numPr>
          <w:ilvl w:val="0"/>
          <w:numId w:val="31"/>
        </w:numPr>
        <w:pBdr>
          <w:top w:val="nil"/>
          <w:left w:val="nil"/>
          <w:bottom w:val="nil"/>
          <w:right w:val="nil"/>
          <w:between w:val="nil"/>
        </w:pBdr>
        <w:spacing w:after="0" w:line="240" w:lineRule="auto"/>
        <w:ind w:right="-126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w:t>
      </w:r>
      <w:r w:rsidR="00B8695C">
        <w:rPr>
          <w:rFonts w:ascii="Times New Roman" w:eastAsia="Times New Roman" w:hAnsi="Times New Roman" w:cs="Times New Roman"/>
          <w:color w:val="000000"/>
          <w:sz w:val="24"/>
          <w:szCs w:val="24"/>
        </w:rPr>
        <w:t xml:space="preserve"> 5</w:t>
      </w:r>
      <w:r w:rsidRPr="00801CF6">
        <w:rPr>
          <w:rFonts w:ascii="Times New Roman" w:eastAsia="Times New Roman" w:hAnsi="Times New Roman" w:cs="Times New Roman"/>
          <w:color w:val="000000"/>
          <w:sz w:val="24"/>
          <w:szCs w:val="24"/>
        </w:rPr>
        <w:t>(A)</w:t>
      </w:r>
      <w:r w:rsidR="00431E8F">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 </w:t>
      </w:r>
      <w:r w:rsidR="00FB5073" w:rsidRPr="00801CF6">
        <w:rPr>
          <w:rFonts w:ascii="Times New Roman" w:eastAsia="Times New Roman" w:hAnsi="Times New Roman" w:cs="Times New Roman"/>
          <w:color w:val="000000"/>
          <w:sz w:val="24"/>
          <w:szCs w:val="24"/>
        </w:rPr>
        <w:t xml:space="preserve">Medical Necessity </w:t>
      </w:r>
      <w:r w:rsidR="00432DF7" w:rsidRPr="00801CF6">
        <w:rPr>
          <w:rFonts w:ascii="Times New Roman" w:eastAsia="Times New Roman" w:hAnsi="Times New Roman" w:cs="Times New Roman"/>
          <w:color w:val="000000"/>
          <w:sz w:val="24"/>
          <w:szCs w:val="24"/>
        </w:rPr>
        <w:t>Denial Rates</w:t>
      </w:r>
      <w:r w:rsidR="008F2766">
        <w:rPr>
          <w:rFonts w:ascii="Times New Roman" w:eastAsia="Times New Roman" w:hAnsi="Times New Roman" w:cs="Times New Roman"/>
          <w:color w:val="000000"/>
          <w:sz w:val="24"/>
          <w:szCs w:val="24"/>
        </w:rPr>
        <w:t>:</w:t>
      </w:r>
      <w:r w:rsidR="00432DF7" w:rsidRPr="00801CF6">
        <w:rPr>
          <w:rFonts w:ascii="Times New Roman" w:eastAsia="Times New Roman" w:hAnsi="Times New Roman" w:cs="Times New Roman"/>
          <w:color w:val="000000"/>
          <w:sz w:val="24"/>
          <w:szCs w:val="24"/>
        </w:rPr>
        <w:t xml:space="preserve"> Template</w:t>
      </w:r>
      <w:r w:rsidR="00B8695C">
        <w:rPr>
          <w:rFonts w:ascii="Times New Roman" w:eastAsia="Times New Roman" w:hAnsi="Times New Roman" w:cs="Times New Roman"/>
          <w:color w:val="000000"/>
          <w:sz w:val="24"/>
          <w:szCs w:val="24"/>
        </w:rPr>
        <w:t xml:space="preserve">, Definitions, and </w:t>
      </w:r>
    </w:p>
    <w:p w14:paraId="0E82C3E7" w14:textId="292AAFEF" w:rsidR="00FB5073" w:rsidRPr="00801CF6" w:rsidRDefault="00B8695C" w:rsidP="0078489A">
      <w:pPr>
        <w:pStyle w:val="ListParagraph"/>
        <w:pBdr>
          <w:top w:val="nil"/>
          <w:left w:val="nil"/>
          <w:bottom w:val="nil"/>
          <w:right w:val="nil"/>
          <w:between w:val="nil"/>
        </w:pBdr>
        <w:spacing w:after="0" w:line="240" w:lineRule="auto"/>
        <w:ind w:left="1080" w:right="-12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Instructions</w:t>
      </w:r>
      <w:r w:rsidR="0062644C">
        <w:rPr>
          <w:rFonts w:ascii="Times New Roman" w:eastAsia="Times New Roman" w:hAnsi="Times New Roman" w:cs="Times New Roman"/>
          <w:color w:val="000000"/>
          <w:sz w:val="24"/>
          <w:szCs w:val="24"/>
        </w:rPr>
        <w:t>; and</w:t>
      </w:r>
      <w:r>
        <w:rPr>
          <w:rFonts w:ascii="Times New Roman" w:eastAsia="Times New Roman" w:hAnsi="Times New Roman" w:cs="Times New Roman"/>
          <w:color w:val="000000"/>
          <w:sz w:val="24"/>
          <w:szCs w:val="24"/>
        </w:rPr>
        <w:t xml:space="preserve"> </w:t>
      </w:r>
    </w:p>
    <w:p w14:paraId="60E2C5E5" w14:textId="58018F3A" w:rsidR="00432DF7" w:rsidRPr="00801CF6" w:rsidRDefault="00432DF7" w:rsidP="0078489A">
      <w:pPr>
        <w:pStyle w:val="ListParagraph"/>
        <w:numPr>
          <w:ilvl w:val="0"/>
          <w:numId w:val="31"/>
        </w:numPr>
        <w:pBdr>
          <w:top w:val="nil"/>
          <w:left w:val="nil"/>
          <w:bottom w:val="nil"/>
          <w:right w:val="nil"/>
          <w:between w:val="nil"/>
        </w:pBdr>
        <w:spacing w:after="0" w:line="240" w:lineRule="auto"/>
        <w:ind w:right="-126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Data Supplement 5(B), </w:t>
      </w:r>
      <w:r w:rsidR="00107C52">
        <w:rPr>
          <w:rFonts w:ascii="Times New Roman" w:eastAsia="Times New Roman" w:hAnsi="Times New Roman" w:cs="Times New Roman"/>
          <w:color w:val="000000"/>
          <w:sz w:val="24"/>
          <w:szCs w:val="24"/>
        </w:rPr>
        <w:t>American Society of Addiction Medicine</w:t>
      </w:r>
      <w:r w:rsidR="008F2766">
        <w:rPr>
          <w:rFonts w:ascii="Times New Roman" w:eastAsia="Times New Roman" w:hAnsi="Times New Roman" w:cs="Times New Roman"/>
          <w:color w:val="000000"/>
          <w:sz w:val="24"/>
          <w:szCs w:val="24"/>
        </w:rPr>
        <w:t xml:space="preserve"> </w:t>
      </w:r>
      <w:r w:rsidR="00107C52">
        <w:rPr>
          <w:rFonts w:ascii="Times New Roman" w:eastAsia="Times New Roman" w:hAnsi="Times New Roman" w:cs="Times New Roman"/>
          <w:color w:val="000000"/>
          <w:sz w:val="24"/>
          <w:szCs w:val="24"/>
        </w:rPr>
        <w:t>Criteria</w:t>
      </w:r>
      <w:r w:rsidR="008F2766">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 Template</w:t>
      </w:r>
      <w:r w:rsidR="0062644C">
        <w:rPr>
          <w:rFonts w:ascii="Times New Roman" w:eastAsia="Times New Roman" w:hAnsi="Times New Roman" w:cs="Times New Roman"/>
          <w:color w:val="000000"/>
          <w:sz w:val="24"/>
          <w:szCs w:val="24"/>
        </w:rPr>
        <w:t>.</w:t>
      </w:r>
    </w:p>
    <w:p w14:paraId="3E31F12D" w14:textId="77777777" w:rsidR="0027593C" w:rsidRDefault="0027593C" w:rsidP="0078489A">
      <w:pPr>
        <w:ind w:left="0" w:firstLine="0"/>
        <w:rPr>
          <w:rFonts w:ascii="Times New Roman" w:eastAsia="Times New Roman" w:hAnsi="Times New Roman" w:cs="Times New Roman"/>
          <w:sz w:val="24"/>
          <w:szCs w:val="24"/>
        </w:rPr>
      </w:pPr>
    </w:p>
    <w:p w14:paraId="2F745379" w14:textId="7C96BF33" w:rsidR="00A603B5" w:rsidRDefault="004B2946" w:rsidP="0078489A">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The purpose of the </w:t>
      </w:r>
      <w:r w:rsidR="00A015EC" w:rsidRPr="00801CF6">
        <w:rPr>
          <w:rFonts w:ascii="Times New Roman" w:eastAsia="Times New Roman" w:hAnsi="Times New Roman" w:cs="Times New Roman"/>
          <w:sz w:val="24"/>
          <w:szCs w:val="24"/>
        </w:rPr>
        <w:t>Overview of Claims Data</w:t>
      </w:r>
      <w:r w:rsidRPr="00801CF6">
        <w:rPr>
          <w:rFonts w:ascii="Times New Roman" w:eastAsia="Times New Roman" w:hAnsi="Times New Roman" w:cs="Times New Roman"/>
          <w:sz w:val="24"/>
          <w:szCs w:val="24"/>
        </w:rPr>
        <w:t xml:space="preserve"> is to assist </w:t>
      </w:r>
      <w:r w:rsidR="008803B7">
        <w:rPr>
          <w:rFonts w:ascii="Times New Roman" w:eastAsia="Times New Roman" w:hAnsi="Times New Roman" w:cs="Times New Roman"/>
          <w:sz w:val="24"/>
          <w:szCs w:val="24"/>
        </w:rPr>
        <w:t xml:space="preserve">the </w:t>
      </w:r>
      <w:r w:rsidRPr="00801CF6">
        <w:rPr>
          <w:rFonts w:ascii="Times New Roman" w:eastAsia="Times New Roman" w:hAnsi="Times New Roman" w:cs="Times New Roman"/>
          <w:sz w:val="24"/>
          <w:szCs w:val="24"/>
        </w:rPr>
        <w:t xml:space="preserve">MIA in its review of overall </w:t>
      </w:r>
      <w:r w:rsidR="00A015EC" w:rsidRPr="00801CF6">
        <w:rPr>
          <w:rFonts w:ascii="Times New Roman" w:eastAsia="Times New Roman" w:hAnsi="Times New Roman" w:cs="Times New Roman"/>
          <w:sz w:val="24"/>
          <w:szCs w:val="24"/>
        </w:rPr>
        <w:t>p</w:t>
      </w:r>
      <w:r w:rsidRPr="00801CF6">
        <w:rPr>
          <w:rFonts w:ascii="Times New Roman" w:eastAsia="Times New Roman" w:hAnsi="Times New Roman" w:cs="Times New Roman"/>
          <w:sz w:val="24"/>
          <w:szCs w:val="24"/>
        </w:rPr>
        <w:t>arity</w:t>
      </w:r>
      <w:r w:rsidR="00A015EC" w:rsidRPr="00801CF6">
        <w:rPr>
          <w:rFonts w:ascii="Times New Roman" w:eastAsia="Times New Roman" w:hAnsi="Times New Roman" w:cs="Times New Roman"/>
          <w:sz w:val="24"/>
          <w:szCs w:val="24"/>
        </w:rPr>
        <w:t xml:space="preserve"> compliance</w:t>
      </w:r>
      <w:r w:rsidR="00A603B5">
        <w:rPr>
          <w:rFonts w:ascii="Times New Roman" w:eastAsia="Times New Roman" w:hAnsi="Times New Roman" w:cs="Times New Roman"/>
          <w:sz w:val="24"/>
          <w:szCs w:val="24"/>
        </w:rPr>
        <w:t xml:space="preserve"> and to provide context for the other responses provided by carriers</w:t>
      </w:r>
      <w:r w:rsidRPr="00801CF6">
        <w:rPr>
          <w:rFonts w:ascii="Times New Roman" w:eastAsia="Times New Roman" w:hAnsi="Times New Roman" w:cs="Times New Roman"/>
          <w:sz w:val="24"/>
          <w:szCs w:val="24"/>
        </w:rPr>
        <w:t xml:space="preserve">. </w:t>
      </w:r>
      <w:r w:rsidR="00A603B5">
        <w:rPr>
          <w:rFonts w:ascii="Times New Roman" w:eastAsia="Times New Roman" w:hAnsi="Times New Roman" w:cs="Times New Roman"/>
          <w:sz w:val="24"/>
          <w:szCs w:val="24"/>
        </w:rPr>
        <w:t xml:space="preserve">Submission of the Overview of Claims Data is optional. </w:t>
      </w:r>
    </w:p>
    <w:p w14:paraId="2F4030E3" w14:textId="62C6972E" w:rsidR="004B2946" w:rsidRDefault="000670D6" w:rsidP="0078489A">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0670D6">
        <w:rPr>
          <w:rFonts w:ascii="Times New Roman" w:eastAsia="Times New Roman" w:hAnsi="Times New Roman" w:cs="Times New Roman"/>
          <w:sz w:val="24"/>
          <w:szCs w:val="24"/>
        </w:rPr>
        <w:t>NQTL Analysis R</w:t>
      </w:r>
      <w:r>
        <w:rPr>
          <w:rFonts w:ascii="Times New Roman" w:eastAsia="Times New Roman" w:hAnsi="Times New Roman" w:cs="Times New Roman"/>
          <w:sz w:val="24"/>
          <w:szCs w:val="24"/>
        </w:rPr>
        <w:t>eport</w:t>
      </w:r>
      <w:r w:rsidR="000E2575">
        <w:rPr>
          <w:rFonts w:ascii="Times New Roman" w:eastAsia="Times New Roman" w:hAnsi="Times New Roman" w:cs="Times New Roman"/>
          <w:sz w:val="24"/>
          <w:szCs w:val="24"/>
        </w:rPr>
        <w:t xml:space="preserve"> T</w:t>
      </w:r>
      <w:r w:rsidR="007F12C4">
        <w:rPr>
          <w:rFonts w:ascii="Times New Roman" w:eastAsia="Times New Roman" w:hAnsi="Times New Roman" w:cs="Times New Roman"/>
          <w:sz w:val="24"/>
          <w:szCs w:val="24"/>
        </w:rPr>
        <w:t>emplate</w:t>
      </w:r>
      <w:r w:rsidR="003B3000">
        <w:rPr>
          <w:rFonts w:ascii="Times New Roman" w:eastAsia="Times New Roman" w:hAnsi="Times New Roman" w:cs="Times New Roman"/>
          <w:sz w:val="24"/>
          <w:szCs w:val="24"/>
        </w:rPr>
        <w:t xml:space="preserve"> has been updated for the NQTLs chosen for the 2026 reporting period. Instructions</w:t>
      </w:r>
      <w:r w:rsidR="007F12C4">
        <w:rPr>
          <w:rFonts w:ascii="Times New Roman" w:eastAsia="Times New Roman" w:hAnsi="Times New Roman" w:cs="Times New Roman"/>
          <w:sz w:val="24"/>
          <w:szCs w:val="24"/>
        </w:rPr>
        <w:t xml:space="preserve"> for using the NQTL Analysis Report</w:t>
      </w:r>
      <w:r w:rsidR="00745009">
        <w:rPr>
          <w:rFonts w:ascii="Times New Roman" w:eastAsia="Times New Roman" w:hAnsi="Times New Roman" w:cs="Times New Roman"/>
          <w:sz w:val="24"/>
          <w:szCs w:val="24"/>
        </w:rPr>
        <w:t xml:space="preserve"> Template</w:t>
      </w:r>
      <w:r w:rsidR="00A603B5">
        <w:rPr>
          <w:rFonts w:ascii="Times New Roman" w:eastAsia="Times New Roman" w:hAnsi="Times New Roman" w:cs="Times New Roman"/>
          <w:sz w:val="24"/>
          <w:szCs w:val="24"/>
        </w:rPr>
        <w:t xml:space="preserve">, </w:t>
      </w:r>
      <w:r w:rsidR="007F12C4">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the Seven Step</w:t>
      </w:r>
      <w:r w:rsidR="00A603B5">
        <w:rPr>
          <w:rFonts w:ascii="Times New Roman" w:eastAsia="Times New Roman" w:hAnsi="Times New Roman" w:cs="Times New Roman"/>
          <w:sz w:val="24"/>
          <w:szCs w:val="24"/>
        </w:rPr>
        <w:t xml:space="preserve"> analysis</w:t>
      </w:r>
      <w:r w:rsidR="003B3000">
        <w:rPr>
          <w:rFonts w:ascii="Times New Roman" w:eastAsia="Times New Roman" w:hAnsi="Times New Roman" w:cs="Times New Roman"/>
          <w:sz w:val="24"/>
          <w:szCs w:val="24"/>
        </w:rPr>
        <w:t>,</w:t>
      </w:r>
      <w:r w:rsidR="00A603B5">
        <w:rPr>
          <w:rFonts w:ascii="Times New Roman" w:eastAsia="Times New Roman" w:hAnsi="Times New Roman" w:cs="Times New Roman"/>
          <w:sz w:val="24"/>
          <w:szCs w:val="24"/>
        </w:rPr>
        <w:t xml:space="preserve"> </w:t>
      </w:r>
      <w:r w:rsidR="007F12C4">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below</w:t>
      </w:r>
      <w:r w:rsidR="007F12C4">
        <w:rPr>
          <w:rFonts w:ascii="Times New Roman" w:eastAsia="Times New Roman" w:hAnsi="Times New Roman" w:cs="Times New Roman"/>
          <w:sz w:val="24"/>
          <w:szCs w:val="24"/>
        </w:rPr>
        <w:t xml:space="preserve">. The </w:t>
      </w:r>
      <w:r w:rsidR="00A57178">
        <w:rPr>
          <w:rFonts w:ascii="Times New Roman" w:eastAsia="Times New Roman" w:hAnsi="Times New Roman" w:cs="Times New Roman"/>
          <w:sz w:val="24"/>
          <w:szCs w:val="24"/>
        </w:rPr>
        <w:t>NQTL Analysis Report Template and the data supplements are</w:t>
      </w:r>
      <w:r>
        <w:rPr>
          <w:rFonts w:ascii="Times New Roman" w:eastAsia="Times New Roman" w:hAnsi="Times New Roman" w:cs="Times New Roman"/>
          <w:sz w:val="24"/>
          <w:szCs w:val="24"/>
        </w:rPr>
        <w:t xml:space="preserve"> embedded</w:t>
      </w:r>
      <w:r w:rsidR="00B35A02">
        <w:rPr>
          <w:rFonts w:ascii="Times New Roman" w:eastAsia="Times New Roman" w:hAnsi="Times New Roman" w:cs="Times New Roman"/>
          <w:sz w:val="24"/>
          <w:szCs w:val="24"/>
        </w:rPr>
        <w:t xml:space="preserve"> here</w:t>
      </w:r>
      <w:r w:rsidR="00A571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bookmarkStart w:id="13" w:name="_MON_1840341442"/>
    <w:bookmarkEnd w:id="13"/>
    <w:p w14:paraId="5A5DDB6A" w14:textId="07082DEF" w:rsidR="00CE1BF6" w:rsidRDefault="00A57178" w:rsidP="0078489A">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520" w:dyaOrig="987" w14:anchorId="62E85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840360341" r:id="rId12">
            <o:FieldCodes>\s</o:FieldCodes>
          </o:OLEObject>
        </w:object>
      </w:r>
      <w:bookmarkStart w:id="14" w:name="_MON_1840341606"/>
      <w:bookmarkEnd w:id="14"/>
      <w:r w:rsidR="00930AF0">
        <w:rPr>
          <w:rFonts w:ascii="Times New Roman" w:eastAsia="Times New Roman" w:hAnsi="Times New Roman" w:cs="Times New Roman"/>
          <w:sz w:val="24"/>
          <w:szCs w:val="24"/>
        </w:rPr>
        <w:object w:dxaOrig="1520" w:dyaOrig="987" w14:anchorId="5721C33F">
          <v:shape id="_x0000_i1026" type="#_x0000_t75" style="width:76.5pt;height:49.5pt" o:ole="">
            <v:imagedata r:id="rId13" o:title=""/>
          </v:shape>
          <o:OLEObject Type="Embed" ProgID="Excel.Sheet.12" ShapeID="_x0000_i1026" DrawAspect="Icon" ObjectID="_1840360342" r:id="rId14"/>
        </w:object>
      </w:r>
      <w:r w:rsidR="00930AF0">
        <w:rPr>
          <w:rFonts w:ascii="Times New Roman" w:eastAsia="Times New Roman" w:hAnsi="Times New Roman" w:cs="Times New Roman"/>
          <w:sz w:val="24"/>
          <w:szCs w:val="24"/>
        </w:rPr>
        <w:object w:dxaOrig="1520" w:dyaOrig="987" w14:anchorId="411A538B">
          <v:shape id="_x0000_i1027" type="#_x0000_t75" style="width:76.5pt;height:49.5pt" o:ole="">
            <v:imagedata r:id="rId15" o:title=""/>
          </v:shape>
          <o:OLEObject Type="Embed" ProgID="Excel.Sheet.12" ShapeID="_x0000_i1027" DrawAspect="Icon" ObjectID="_1840360343" r:id="rId16"/>
        </w:object>
      </w:r>
      <w:r w:rsidR="00930AF0">
        <w:rPr>
          <w:rFonts w:ascii="Times New Roman" w:eastAsia="Times New Roman" w:hAnsi="Times New Roman" w:cs="Times New Roman"/>
          <w:sz w:val="24"/>
          <w:szCs w:val="24"/>
        </w:rPr>
        <w:object w:dxaOrig="1520" w:dyaOrig="987" w14:anchorId="5A4151C1">
          <v:shape id="_x0000_i1028" type="#_x0000_t75" style="width:76.5pt;height:49.5pt" o:ole="">
            <v:imagedata r:id="rId17" o:title=""/>
          </v:shape>
          <o:OLEObject Type="Embed" ProgID="Excel.Sheet.12" ShapeID="_x0000_i1028" DrawAspect="Icon" ObjectID="_1840360344" r:id="rId18"/>
        </w:object>
      </w:r>
      <w:r w:rsidR="00930AF0">
        <w:rPr>
          <w:rFonts w:ascii="Times New Roman" w:eastAsia="Times New Roman" w:hAnsi="Times New Roman" w:cs="Times New Roman"/>
          <w:sz w:val="24"/>
          <w:szCs w:val="24"/>
        </w:rPr>
        <w:object w:dxaOrig="1520" w:dyaOrig="987" w14:anchorId="441FE1F5">
          <v:shape id="_x0000_i1029" type="#_x0000_t75" style="width:76.5pt;height:49.5pt" o:ole="">
            <v:imagedata r:id="rId19" o:title=""/>
          </v:shape>
          <o:OLEObject Type="Embed" ProgID="Excel.Sheet.12" ShapeID="_x0000_i1029" DrawAspect="Icon" ObjectID="_1840360345" r:id="rId20"/>
        </w:object>
      </w:r>
      <w:r w:rsidR="00930AF0">
        <w:rPr>
          <w:rFonts w:ascii="Times New Roman" w:eastAsia="Times New Roman" w:hAnsi="Times New Roman" w:cs="Times New Roman"/>
          <w:sz w:val="24"/>
          <w:szCs w:val="24"/>
        </w:rPr>
        <w:object w:dxaOrig="1520" w:dyaOrig="987" w14:anchorId="1593D7EF">
          <v:shape id="_x0000_i1030" type="#_x0000_t75" style="width:76.5pt;height:49.5pt" o:ole="">
            <v:imagedata r:id="rId21" o:title=""/>
          </v:shape>
          <o:OLEObject Type="Embed" ProgID="Excel.Sheet.12" ShapeID="_x0000_i1030" DrawAspect="Icon" ObjectID="_1840360346" r:id="rId22"/>
        </w:object>
      </w:r>
      <w:r w:rsidR="00930AF0">
        <w:rPr>
          <w:rFonts w:ascii="Times New Roman" w:eastAsia="Times New Roman" w:hAnsi="Times New Roman" w:cs="Times New Roman"/>
          <w:sz w:val="24"/>
          <w:szCs w:val="24"/>
        </w:rPr>
        <w:object w:dxaOrig="1520" w:dyaOrig="987" w14:anchorId="12278E9A">
          <v:shape id="_x0000_i1031" type="#_x0000_t75" style="width:76.5pt;height:49.5pt" o:ole="">
            <v:imagedata r:id="rId23" o:title=""/>
          </v:shape>
          <o:OLEObject Type="Embed" ProgID="Excel.Sheet.12" ShapeID="_x0000_i1031" DrawAspect="Icon" ObjectID="_1840360347" r:id="rId24"/>
        </w:object>
      </w:r>
      <w:r w:rsidR="00930AF0">
        <w:rPr>
          <w:rFonts w:ascii="Times New Roman" w:eastAsia="Times New Roman" w:hAnsi="Times New Roman" w:cs="Times New Roman"/>
          <w:sz w:val="24"/>
          <w:szCs w:val="24"/>
        </w:rPr>
        <w:object w:dxaOrig="1520" w:dyaOrig="987" w14:anchorId="5FD6EE9B">
          <v:shape id="_x0000_i1032" type="#_x0000_t75" style="width:76.5pt;height:49.5pt" o:ole="">
            <v:imagedata r:id="rId25" o:title=""/>
          </v:shape>
          <o:OLEObject Type="Embed" ProgID="Excel.Sheet.12" ShapeID="_x0000_i1032" DrawAspect="Icon" ObjectID="_1840360348" r:id="rId26"/>
        </w:object>
      </w:r>
    </w:p>
    <w:p w14:paraId="49ED7CA1" w14:textId="0059D0E2" w:rsidR="00DE3F67" w:rsidRPr="00801CF6" w:rsidRDefault="003E3627" w:rsidP="004F0CD8">
      <w:pPr>
        <w:pStyle w:val="Heading1"/>
        <w:jc w:val="center"/>
      </w:pPr>
      <w:bookmarkStart w:id="15" w:name="_Toc229123339"/>
      <w:bookmarkStart w:id="16" w:name="_Toc229123617"/>
      <w:r w:rsidRPr="00801CF6">
        <w:t>DUE DATE</w:t>
      </w:r>
      <w:bookmarkEnd w:id="15"/>
      <w:bookmarkEnd w:id="16"/>
    </w:p>
    <w:p w14:paraId="1954A74E" w14:textId="53066F2A" w:rsidR="00DE3F67" w:rsidRDefault="00B35A02" w:rsidP="00DE3F67">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due date for </w:t>
      </w:r>
      <w:r w:rsidR="00AB12BC" w:rsidRPr="00801CF6">
        <w:rPr>
          <w:rFonts w:ascii="Times New Roman" w:eastAsia="Times New Roman" w:hAnsi="Times New Roman" w:cs="Times New Roman"/>
          <w:sz w:val="24"/>
          <w:szCs w:val="24"/>
        </w:rPr>
        <w:t xml:space="preserve">parity </w:t>
      </w:r>
      <w:r w:rsidR="00BC49D1" w:rsidRPr="00801CF6">
        <w:rPr>
          <w:rFonts w:ascii="Times New Roman" w:eastAsia="Times New Roman" w:hAnsi="Times New Roman" w:cs="Times New Roman"/>
          <w:sz w:val="24"/>
          <w:szCs w:val="24"/>
        </w:rPr>
        <w:t xml:space="preserve">report </w:t>
      </w:r>
      <w:r w:rsidR="00AB12BC" w:rsidRPr="00801CF6">
        <w:rPr>
          <w:rFonts w:ascii="Times New Roman" w:eastAsia="Times New Roman" w:hAnsi="Times New Roman" w:cs="Times New Roman"/>
          <w:sz w:val="24"/>
          <w:szCs w:val="24"/>
        </w:rPr>
        <w:t xml:space="preserve">filings </w:t>
      </w:r>
      <w:r w:rsidR="00DE3F67" w:rsidRPr="00801CF6">
        <w:rPr>
          <w:rFonts w:ascii="Times New Roman" w:eastAsia="Times New Roman" w:hAnsi="Times New Roman" w:cs="Times New Roman"/>
          <w:sz w:val="24"/>
          <w:szCs w:val="24"/>
        </w:rPr>
        <w:t>is July 1, 2026.</w:t>
      </w:r>
    </w:p>
    <w:p w14:paraId="79629B26" w14:textId="77777777" w:rsidR="00094763" w:rsidRPr="00801CF6" w:rsidRDefault="00094763" w:rsidP="00DE3F67">
      <w:pPr>
        <w:ind w:left="0" w:firstLine="0"/>
        <w:rPr>
          <w:rFonts w:ascii="Times New Roman" w:eastAsia="Times New Roman" w:hAnsi="Times New Roman" w:cs="Times New Roman"/>
          <w:sz w:val="24"/>
          <w:szCs w:val="24"/>
        </w:rPr>
      </w:pPr>
    </w:p>
    <w:p w14:paraId="5E0327E2" w14:textId="2441FD6F" w:rsidR="00DB10C0" w:rsidRPr="004F0CD8" w:rsidRDefault="00AB12BC" w:rsidP="004F0CD8">
      <w:pPr>
        <w:pStyle w:val="Heading1"/>
        <w:jc w:val="center"/>
      </w:pPr>
      <w:bookmarkStart w:id="17" w:name="_17dp8vu" w:colFirst="0" w:colLast="0"/>
      <w:bookmarkStart w:id="18" w:name="_Toc229123340"/>
      <w:bookmarkStart w:id="19" w:name="_Toc229123618"/>
      <w:bookmarkEnd w:id="17"/>
      <w:r w:rsidRPr="004F0CD8">
        <w:lastRenderedPageBreak/>
        <w:t>DEFINITIONS</w:t>
      </w:r>
      <w:bookmarkEnd w:id="18"/>
      <w:bookmarkEnd w:id="19"/>
    </w:p>
    <w:p w14:paraId="0740B456" w14:textId="6DF6A45B" w:rsidR="00514AE0" w:rsidRDefault="00203C8B" w:rsidP="00FD3227">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The terms in the</w:t>
      </w:r>
      <w:r w:rsidR="00A5771C">
        <w:rPr>
          <w:rFonts w:ascii="Times New Roman" w:eastAsia="Times New Roman" w:hAnsi="Times New Roman" w:cs="Times New Roman"/>
          <w:sz w:val="24"/>
          <w:szCs w:val="24"/>
        </w:rPr>
        <w:t>se</w:t>
      </w:r>
      <w:r w:rsidRPr="00801CF6">
        <w:rPr>
          <w:rFonts w:ascii="Times New Roman" w:eastAsia="Times New Roman" w:hAnsi="Times New Roman" w:cs="Times New Roman"/>
          <w:sz w:val="24"/>
          <w:szCs w:val="24"/>
        </w:rPr>
        <w:t xml:space="preserve"> instructions</w:t>
      </w:r>
      <w:r w:rsidR="00E01148">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the </w:t>
      </w:r>
      <w:r w:rsidR="00A03F67">
        <w:rPr>
          <w:rFonts w:ascii="Times New Roman" w:eastAsia="Times New Roman" w:hAnsi="Times New Roman" w:cs="Times New Roman"/>
          <w:sz w:val="24"/>
          <w:szCs w:val="24"/>
        </w:rPr>
        <w:t>NQTL Analysis R</w:t>
      </w:r>
      <w:r w:rsidRPr="00801CF6">
        <w:rPr>
          <w:rFonts w:ascii="Times New Roman" w:eastAsia="Times New Roman" w:hAnsi="Times New Roman" w:cs="Times New Roman"/>
          <w:sz w:val="24"/>
          <w:szCs w:val="24"/>
        </w:rPr>
        <w:t>eport</w:t>
      </w:r>
      <w:r w:rsidR="00A5771C">
        <w:rPr>
          <w:rFonts w:ascii="Times New Roman" w:eastAsia="Times New Roman" w:hAnsi="Times New Roman" w:cs="Times New Roman"/>
          <w:sz w:val="24"/>
          <w:szCs w:val="24"/>
        </w:rPr>
        <w:t xml:space="preserve"> </w:t>
      </w:r>
      <w:r w:rsidR="000E2575">
        <w:rPr>
          <w:rFonts w:ascii="Times New Roman" w:eastAsia="Times New Roman" w:hAnsi="Times New Roman" w:cs="Times New Roman"/>
          <w:sz w:val="24"/>
          <w:szCs w:val="24"/>
        </w:rPr>
        <w:t>T</w:t>
      </w:r>
      <w:r w:rsidR="00A5771C">
        <w:rPr>
          <w:rFonts w:ascii="Times New Roman" w:eastAsia="Times New Roman" w:hAnsi="Times New Roman" w:cs="Times New Roman"/>
          <w:sz w:val="24"/>
          <w:szCs w:val="24"/>
        </w:rPr>
        <w:t>emplate</w:t>
      </w:r>
      <w:r w:rsidR="00745009">
        <w:rPr>
          <w:rFonts w:ascii="Times New Roman" w:eastAsia="Times New Roman" w:hAnsi="Times New Roman" w:cs="Times New Roman"/>
          <w:sz w:val="24"/>
          <w:szCs w:val="24"/>
        </w:rPr>
        <w:t>, and the data s</w:t>
      </w:r>
      <w:r w:rsidR="00E01148">
        <w:rPr>
          <w:rFonts w:ascii="Times New Roman" w:eastAsia="Times New Roman" w:hAnsi="Times New Roman" w:cs="Times New Roman"/>
          <w:sz w:val="24"/>
          <w:szCs w:val="24"/>
        </w:rPr>
        <w:t>upplements</w:t>
      </w:r>
      <w:r w:rsidRPr="00801CF6">
        <w:rPr>
          <w:rFonts w:ascii="Times New Roman" w:eastAsia="Times New Roman" w:hAnsi="Times New Roman" w:cs="Times New Roman"/>
          <w:sz w:val="24"/>
          <w:szCs w:val="24"/>
        </w:rPr>
        <w:t xml:space="preserve"> are defined in COMAR 31.10.51 or have the meaning indicated below</w:t>
      </w:r>
      <w:r w:rsidR="00A5771C">
        <w:rPr>
          <w:rFonts w:ascii="Times New Roman" w:eastAsia="Times New Roman" w:hAnsi="Times New Roman" w:cs="Times New Roman"/>
          <w:sz w:val="24"/>
          <w:szCs w:val="24"/>
        </w:rPr>
        <w:t xml:space="preserve">. </w:t>
      </w:r>
      <w:r w:rsidR="00A5771C" w:rsidRPr="008252BA">
        <w:rPr>
          <w:rFonts w:ascii="Times New Roman" w:eastAsia="Times New Roman" w:hAnsi="Times New Roman" w:cs="Times New Roman"/>
          <w:sz w:val="24"/>
          <w:szCs w:val="24"/>
        </w:rPr>
        <w:t>For convenience, some of the definitions below are duplicated in the D</w:t>
      </w:r>
      <w:r w:rsidR="007E36C2" w:rsidRPr="008252BA">
        <w:rPr>
          <w:rFonts w:ascii="Times New Roman" w:eastAsia="Times New Roman" w:hAnsi="Times New Roman" w:cs="Times New Roman"/>
          <w:sz w:val="24"/>
          <w:szCs w:val="24"/>
        </w:rPr>
        <w:t>efinitions and</w:t>
      </w:r>
      <w:r w:rsidR="00A5771C" w:rsidRPr="008252BA">
        <w:rPr>
          <w:rFonts w:ascii="Times New Roman" w:eastAsia="Times New Roman" w:hAnsi="Times New Roman" w:cs="Times New Roman"/>
          <w:sz w:val="24"/>
          <w:szCs w:val="24"/>
        </w:rPr>
        <w:t xml:space="preserve"> I</w:t>
      </w:r>
      <w:r w:rsidR="00C342C2" w:rsidRPr="008252BA">
        <w:rPr>
          <w:rFonts w:ascii="Times New Roman" w:eastAsia="Times New Roman" w:hAnsi="Times New Roman" w:cs="Times New Roman"/>
          <w:sz w:val="24"/>
          <w:szCs w:val="24"/>
        </w:rPr>
        <w:t>nstruction</w:t>
      </w:r>
      <w:r w:rsidR="00A03F67" w:rsidRPr="008252BA">
        <w:rPr>
          <w:rFonts w:ascii="Times New Roman" w:eastAsia="Times New Roman" w:hAnsi="Times New Roman" w:cs="Times New Roman"/>
          <w:sz w:val="24"/>
          <w:szCs w:val="24"/>
        </w:rPr>
        <w:t xml:space="preserve"> tab</w:t>
      </w:r>
      <w:r w:rsidR="00A5771C" w:rsidRPr="008252BA">
        <w:rPr>
          <w:rFonts w:ascii="Times New Roman" w:eastAsia="Times New Roman" w:hAnsi="Times New Roman" w:cs="Times New Roman"/>
          <w:sz w:val="24"/>
          <w:szCs w:val="24"/>
        </w:rPr>
        <w:t>s</w:t>
      </w:r>
      <w:r w:rsidR="00C342C2" w:rsidRPr="008252BA">
        <w:rPr>
          <w:rFonts w:ascii="Times New Roman" w:eastAsia="Times New Roman" w:hAnsi="Times New Roman" w:cs="Times New Roman"/>
          <w:sz w:val="24"/>
          <w:szCs w:val="24"/>
        </w:rPr>
        <w:t xml:space="preserve"> to the </w:t>
      </w:r>
      <w:r w:rsidR="00A5771C" w:rsidRPr="008252BA">
        <w:rPr>
          <w:rFonts w:ascii="Times New Roman" w:eastAsia="Times New Roman" w:hAnsi="Times New Roman" w:cs="Times New Roman"/>
          <w:sz w:val="24"/>
          <w:szCs w:val="24"/>
        </w:rPr>
        <w:t>applicable data supplement, which may also contain a more complete definition</w:t>
      </w:r>
      <w:r w:rsidRPr="008252BA">
        <w:rPr>
          <w:rFonts w:ascii="Times New Roman" w:eastAsia="Times New Roman" w:hAnsi="Times New Roman" w:cs="Times New Roman"/>
          <w:sz w:val="24"/>
          <w:szCs w:val="24"/>
        </w:rPr>
        <w:t>. U</w:t>
      </w:r>
      <w:r w:rsidRPr="00801CF6">
        <w:rPr>
          <w:rFonts w:ascii="Times New Roman" w:eastAsia="Times New Roman" w:hAnsi="Times New Roman" w:cs="Times New Roman"/>
          <w:sz w:val="24"/>
          <w:szCs w:val="24"/>
        </w:rPr>
        <w:t>se of the definitions</w:t>
      </w:r>
      <w:r w:rsidR="007E36C2">
        <w:rPr>
          <w:rFonts w:ascii="Times New Roman" w:eastAsia="Times New Roman" w:hAnsi="Times New Roman" w:cs="Times New Roman"/>
          <w:sz w:val="24"/>
          <w:szCs w:val="24"/>
        </w:rPr>
        <w:t xml:space="preserve"> below and other definitions</w:t>
      </w:r>
      <w:r w:rsidRPr="00801CF6">
        <w:rPr>
          <w:rFonts w:ascii="Times New Roman" w:eastAsia="Times New Roman" w:hAnsi="Times New Roman" w:cs="Times New Roman"/>
          <w:sz w:val="24"/>
          <w:szCs w:val="24"/>
        </w:rPr>
        <w:t xml:space="preserve"> is mandatory.</w:t>
      </w:r>
      <w:r w:rsidR="00BD5D65" w:rsidRPr="00801CF6">
        <w:rPr>
          <w:rFonts w:ascii="Times New Roman" w:eastAsia="Times New Roman" w:hAnsi="Times New Roman" w:cs="Times New Roman"/>
          <w:sz w:val="24"/>
          <w:szCs w:val="24"/>
        </w:rPr>
        <w:t xml:space="preserve">  </w:t>
      </w:r>
    </w:p>
    <w:p w14:paraId="3ECA6233" w14:textId="74DD2C77" w:rsidR="00FD3227" w:rsidRDefault="007E13FC" w:rsidP="00FD3227">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“Adverse D</w:t>
      </w:r>
      <w:r w:rsidR="00514AE0" w:rsidRPr="00514AE0">
        <w:rPr>
          <w:rFonts w:ascii="Times New Roman" w:eastAsia="Times New Roman" w:hAnsi="Times New Roman" w:cs="Times New Roman"/>
          <w:sz w:val="24"/>
          <w:szCs w:val="24"/>
        </w:rPr>
        <w:t>ecision” means a utilization review determination by a private review agent, a carrier, or a health care provider acting on behalf of a carrier that a proposed or delivered health care service covered under the member’s contract is or was not medically necessary, appropriate, or efficient; and may result in non</w:t>
      </w:r>
      <w:r w:rsidR="00A5771C">
        <w:rPr>
          <w:rFonts w:ascii="Times New Roman" w:eastAsia="Times New Roman" w:hAnsi="Times New Roman" w:cs="Times New Roman"/>
          <w:sz w:val="24"/>
          <w:szCs w:val="24"/>
        </w:rPr>
        <w:t>-</w:t>
      </w:r>
      <w:r w:rsidR="00514AE0" w:rsidRPr="00514AE0">
        <w:rPr>
          <w:rFonts w:ascii="Times New Roman" w:eastAsia="Times New Roman" w:hAnsi="Times New Roman" w:cs="Times New Roman"/>
          <w:sz w:val="24"/>
          <w:szCs w:val="24"/>
        </w:rPr>
        <w:t>coverage of the health care service. “Adverse decision” includes a utilization review determination based on a prior authorization or step therapy requirement but does not include a decision concerning a subscriber’s status as a member. (</w:t>
      </w:r>
      <w:r w:rsidR="00102EAB">
        <w:rPr>
          <w:rFonts w:ascii="Times New Roman" w:eastAsia="Times New Roman" w:hAnsi="Times New Roman" w:cs="Times New Roman"/>
          <w:sz w:val="24"/>
          <w:szCs w:val="24"/>
        </w:rPr>
        <w:t xml:space="preserve">See </w:t>
      </w:r>
      <w:r w:rsidR="00514AE0" w:rsidRPr="00514AE0">
        <w:rPr>
          <w:rFonts w:ascii="Times New Roman" w:eastAsia="Times New Roman" w:hAnsi="Times New Roman" w:cs="Times New Roman"/>
          <w:sz w:val="24"/>
          <w:szCs w:val="24"/>
        </w:rPr>
        <w:t>§ 15–10A–01(b))</w:t>
      </w:r>
    </w:p>
    <w:p w14:paraId="20223A7B" w14:textId="7F4CDD28" w:rsidR="00FD3227" w:rsidRDefault="00FD3227" w:rsidP="00FD3227">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D3227">
        <w:rPr>
          <w:rFonts w:ascii="Times New Roman" w:eastAsia="Times New Roman" w:hAnsi="Times New Roman" w:cs="Times New Roman"/>
          <w:sz w:val="24"/>
          <w:szCs w:val="24"/>
        </w:rPr>
        <w:t>All Claim Lines</w:t>
      </w:r>
      <w:r w:rsidR="005542F8">
        <w:rPr>
          <w:rFonts w:ascii="Times New Roman" w:eastAsia="Times New Roman" w:hAnsi="Times New Roman" w:cs="Times New Roman"/>
          <w:sz w:val="24"/>
          <w:szCs w:val="24"/>
        </w:rPr>
        <w:t>” means w</w:t>
      </w:r>
      <w:r w:rsidRPr="00FD3227">
        <w:rPr>
          <w:rFonts w:ascii="Times New Roman" w:eastAsia="Times New Roman" w:hAnsi="Times New Roman" w:cs="Times New Roman"/>
          <w:sz w:val="24"/>
          <w:szCs w:val="24"/>
        </w:rPr>
        <w:t>ith respect to the type of Office Visit Professional</w:t>
      </w:r>
      <w:r w:rsidR="005542F8">
        <w:rPr>
          <w:rFonts w:ascii="Times New Roman" w:eastAsia="Times New Roman" w:hAnsi="Times New Roman" w:cs="Times New Roman"/>
          <w:sz w:val="24"/>
          <w:szCs w:val="24"/>
        </w:rPr>
        <w:t xml:space="preserve"> </w:t>
      </w:r>
      <w:r w:rsidRPr="00FD3227">
        <w:rPr>
          <w:rFonts w:ascii="Times New Roman" w:eastAsia="Times New Roman" w:hAnsi="Times New Roman" w:cs="Times New Roman"/>
          <w:sz w:val="24"/>
          <w:szCs w:val="24"/>
        </w:rPr>
        <w:t xml:space="preserve">Services being examined, </w:t>
      </w:r>
      <w:r w:rsidR="009838FD">
        <w:rPr>
          <w:rFonts w:ascii="Times New Roman" w:eastAsia="Times New Roman" w:hAnsi="Times New Roman" w:cs="Times New Roman"/>
          <w:sz w:val="24"/>
          <w:szCs w:val="24"/>
        </w:rPr>
        <w:t>e</w:t>
      </w:r>
      <w:r w:rsidRPr="00FD3227">
        <w:rPr>
          <w:rFonts w:ascii="Times New Roman" w:eastAsia="Times New Roman" w:hAnsi="Times New Roman" w:cs="Times New Roman"/>
          <w:sz w:val="24"/>
          <w:szCs w:val="24"/>
        </w:rPr>
        <w:t>very al</w:t>
      </w:r>
      <w:r w:rsidR="009838FD">
        <w:rPr>
          <w:rFonts w:ascii="Times New Roman" w:eastAsia="Times New Roman" w:hAnsi="Times New Roman" w:cs="Times New Roman"/>
          <w:sz w:val="24"/>
          <w:szCs w:val="24"/>
        </w:rPr>
        <w:t>lowed Claim Line for All Codes o</w:t>
      </w:r>
      <w:r w:rsidRPr="00FD3227">
        <w:rPr>
          <w:rFonts w:ascii="Times New Roman" w:eastAsia="Times New Roman" w:hAnsi="Times New Roman" w:cs="Times New Roman"/>
          <w:sz w:val="24"/>
          <w:szCs w:val="24"/>
        </w:rPr>
        <w:t>n a submitted claim form.</w:t>
      </w:r>
    </w:p>
    <w:p w14:paraId="5BEB164D" w14:textId="3C0CBC5B" w:rsidR="005542F8" w:rsidRDefault="005542F8" w:rsidP="00FD3227">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542F8">
        <w:rPr>
          <w:rFonts w:ascii="Times New Roman" w:eastAsia="Times New Roman" w:hAnsi="Times New Roman" w:cs="Times New Roman"/>
          <w:sz w:val="24"/>
          <w:szCs w:val="24"/>
        </w:rPr>
        <w:t>All Codes</w:t>
      </w:r>
      <w:r>
        <w:rPr>
          <w:rFonts w:ascii="Times New Roman" w:eastAsia="Times New Roman" w:hAnsi="Times New Roman" w:cs="Times New Roman"/>
          <w:sz w:val="24"/>
          <w:szCs w:val="24"/>
        </w:rPr>
        <w:t>” means for</w:t>
      </w:r>
      <w:r w:rsidRPr="005542F8">
        <w:rPr>
          <w:rFonts w:ascii="Times New Roman" w:eastAsia="Times New Roman" w:hAnsi="Times New Roman" w:cs="Times New Roman"/>
          <w:sz w:val="24"/>
          <w:szCs w:val="24"/>
        </w:rPr>
        <w:t xml:space="preserve"> Office Visit Professional Services </w:t>
      </w:r>
      <w:r w:rsidR="009838FD">
        <w:rPr>
          <w:rFonts w:ascii="Times New Roman" w:eastAsia="Times New Roman" w:hAnsi="Times New Roman" w:cs="Times New Roman"/>
          <w:sz w:val="24"/>
          <w:szCs w:val="24"/>
        </w:rPr>
        <w:t>Claims S</w:t>
      </w:r>
      <w:r w:rsidRPr="005542F8">
        <w:rPr>
          <w:rFonts w:ascii="Times New Roman" w:eastAsia="Times New Roman" w:hAnsi="Times New Roman" w:cs="Times New Roman"/>
          <w:sz w:val="24"/>
          <w:szCs w:val="24"/>
        </w:rPr>
        <w:t xml:space="preserve">ubmitted (CMS-1500), any allowed CMS-1500 Claim Line with any CPT or HCPCS billing code including any modifier and including Ancillary Services, that has a Medicare </w:t>
      </w:r>
      <w:r w:rsidR="009838FD">
        <w:rPr>
          <w:rFonts w:ascii="Times New Roman" w:eastAsia="Times New Roman" w:hAnsi="Times New Roman" w:cs="Times New Roman"/>
          <w:sz w:val="24"/>
          <w:szCs w:val="24"/>
        </w:rPr>
        <w:t>a</w:t>
      </w:r>
      <w:r w:rsidRPr="005542F8">
        <w:rPr>
          <w:rFonts w:ascii="Times New Roman" w:eastAsia="Times New Roman" w:hAnsi="Times New Roman" w:cs="Times New Roman"/>
          <w:sz w:val="24"/>
          <w:szCs w:val="24"/>
        </w:rPr>
        <w:t xml:space="preserve">llowed </w:t>
      </w:r>
      <w:r w:rsidR="009838FD">
        <w:rPr>
          <w:rFonts w:ascii="Times New Roman" w:eastAsia="Times New Roman" w:hAnsi="Times New Roman" w:cs="Times New Roman"/>
          <w:sz w:val="24"/>
          <w:szCs w:val="24"/>
        </w:rPr>
        <w:t>a</w:t>
      </w:r>
      <w:r w:rsidRPr="005542F8">
        <w:rPr>
          <w:rFonts w:ascii="Times New Roman" w:eastAsia="Times New Roman" w:hAnsi="Times New Roman" w:cs="Times New Roman"/>
          <w:sz w:val="24"/>
          <w:szCs w:val="24"/>
        </w:rPr>
        <w:t>mount listed in the</w:t>
      </w:r>
      <w:r>
        <w:rPr>
          <w:rFonts w:ascii="Times New Roman" w:eastAsia="Times New Roman" w:hAnsi="Times New Roman" w:cs="Times New Roman"/>
          <w:sz w:val="24"/>
          <w:szCs w:val="24"/>
        </w:rPr>
        <w:t xml:space="preserve"> Medicare Physician Fee Schedule </w:t>
      </w:r>
      <w:r w:rsidRPr="005542F8">
        <w:rPr>
          <w:rFonts w:ascii="Times New Roman" w:eastAsia="Times New Roman" w:hAnsi="Times New Roman" w:cs="Times New Roman"/>
          <w:sz w:val="24"/>
          <w:szCs w:val="24"/>
        </w:rPr>
        <w:t>for the billing code of such Claim Line.</w:t>
      </w:r>
    </w:p>
    <w:p w14:paraId="1A2642FC" w14:textId="448661A9" w:rsidR="005542F8" w:rsidRDefault="005542F8"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542F8">
        <w:rPr>
          <w:rFonts w:ascii="Times New Roman" w:eastAsia="Times New Roman" w:hAnsi="Times New Roman" w:cs="Times New Roman"/>
          <w:sz w:val="24"/>
          <w:szCs w:val="24"/>
        </w:rPr>
        <w:t>Ancillary Services</w:t>
      </w:r>
      <w:r>
        <w:rPr>
          <w:rFonts w:ascii="Times New Roman" w:eastAsia="Times New Roman" w:hAnsi="Times New Roman" w:cs="Times New Roman"/>
          <w:sz w:val="24"/>
          <w:szCs w:val="24"/>
        </w:rPr>
        <w:t>” means s</w:t>
      </w:r>
      <w:r w:rsidRPr="005542F8">
        <w:rPr>
          <w:rFonts w:ascii="Times New Roman" w:eastAsia="Times New Roman" w:hAnsi="Times New Roman" w:cs="Times New Roman"/>
          <w:sz w:val="24"/>
          <w:szCs w:val="24"/>
        </w:rPr>
        <w:t>ervices and items such as labs, diagnostics, pharmacy, and supplies.</w:t>
      </w:r>
    </w:p>
    <w:p w14:paraId="725D680F" w14:textId="6D272DBD" w:rsidR="00514AE0" w:rsidRDefault="00514AE0" w:rsidP="00F06365">
      <w:pPr>
        <w:ind w:left="0" w:firstLine="0"/>
        <w:rPr>
          <w:rFonts w:ascii="Times New Roman" w:eastAsia="Times New Roman" w:hAnsi="Times New Roman" w:cs="Times New Roman"/>
          <w:sz w:val="24"/>
          <w:szCs w:val="24"/>
        </w:rPr>
      </w:pPr>
      <w:r w:rsidRPr="00514AE0">
        <w:rPr>
          <w:rFonts w:ascii="Times New Roman" w:eastAsia="Times New Roman" w:hAnsi="Times New Roman" w:cs="Times New Roman"/>
          <w:sz w:val="24"/>
          <w:szCs w:val="24"/>
        </w:rPr>
        <w:t xml:space="preserve">"Appeal" means a protest filed by a member, a member’s representative, or a health care provider with a carrier under its internal appeal process regarding a coverage decision concerning a </w:t>
      </w:r>
      <w:r>
        <w:rPr>
          <w:rFonts w:ascii="Times New Roman" w:eastAsia="Times New Roman" w:hAnsi="Times New Roman" w:cs="Times New Roman"/>
          <w:sz w:val="24"/>
          <w:szCs w:val="24"/>
        </w:rPr>
        <w:t xml:space="preserve">member. </w:t>
      </w:r>
      <w:r w:rsidRPr="00514AE0">
        <w:rPr>
          <w:rFonts w:ascii="Times New Roman" w:eastAsia="Times New Roman" w:hAnsi="Times New Roman" w:cs="Times New Roman"/>
          <w:sz w:val="24"/>
          <w:szCs w:val="24"/>
        </w:rPr>
        <w:t>(</w:t>
      </w:r>
      <w:r w:rsidR="00102EAB">
        <w:rPr>
          <w:rFonts w:ascii="Times New Roman" w:eastAsia="Times New Roman" w:hAnsi="Times New Roman" w:cs="Times New Roman"/>
          <w:sz w:val="24"/>
          <w:szCs w:val="24"/>
        </w:rPr>
        <w:t xml:space="preserve">See </w:t>
      </w:r>
      <w:r w:rsidRPr="00514AE0">
        <w:rPr>
          <w:rFonts w:ascii="Times New Roman" w:eastAsia="Times New Roman" w:hAnsi="Times New Roman" w:cs="Times New Roman"/>
          <w:sz w:val="24"/>
          <w:szCs w:val="24"/>
        </w:rPr>
        <w:t>§ 15–10D–01(b))</w:t>
      </w:r>
    </w:p>
    <w:p w14:paraId="5F49D1B9" w14:textId="640F1DA1" w:rsidR="00514AE0" w:rsidRDefault="007E13F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“Appeal D</w:t>
      </w:r>
      <w:r w:rsidR="00514AE0" w:rsidRPr="00514AE0">
        <w:rPr>
          <w:rFonts w:ascii="Times New Roman" w:eastAsia="Times New Roman" w:hAnsi="Times New Roman" w:cs="Times New Roman"/>
          <w:sz w:val="24"/>
          <w:szCs w:val="24"/>
        </w:rPr>
        <w:t>ecision” means a final determination by a carrier that arises from an appeal filed with the carrier under its appeal process regarding a coverage decision concerning a member. (</w:t>
      </w:r>
      <w:r w:rsidR="00102EAB">
        <w:rPr>
          <w:rFonts w:ascii="Times New Roman" w:eastAsia="Times New Roman" w:hAnsi="Times New Roman" w:cs="Times New Roman"/>
          <w:sz w:val="24"/>
          <w:szCs w:val="24"/>
        </w:rPr>
        <w:t xml:space="preserve">See </w:t>
      </w:r>
      <w:r w:rsidR="00514AE0" w:rsidRPr="00514AE0">
        <w:rPr>
          <w:rFonts w:ascii="Times New Roman" w:eastAsia="Times New Roman" w:hAnsi="Times New Roman" w:cs="Times New Roman"/>
          <w:sz w:val="24"/>
          <w:szCs w:val="24"/>
        </w:rPr>
        <w:t>§ 15–10D–01(c))</w:t>
      </w:r>
    </w:p>
    <w:p w14:paraId="61BC85E0" w14:textId="37C975EC" w:rsidR="00396CA6" w:rsidRDefault="00396CA6" w:rsidP="00F06365">
      <w:pPr>
        <w:ind w:left="0" w:firstLine="0"/>
        <w:rPr>
          <w:rFonts w:ascii="Times New Roman" w:eastAsia="Times New Roman" w:hAnsi="Times New Roman" w:cs="Times New Roman"/>
          <w:sz w:val="24"/>
          <w:szCs w:val="24"/>
        </w:rPr>
      </w:pPr>
      <w:r w:rsidRPr="00396CA6">
        <w:rPr>
          <w:rFonts w:ascii="Times New Roman" w:eastAsia="Times New Roman" w:hAnsi="Times New Roman" w:cs="Times New Roman"/>
          <w:sz w:val="24"/>
          <w:szCs w:val="24"/>
        </w:rPr>
        <w:t>"Auto-Pay Code" means a diagnostic code that the carrier covers and reimburses without requiring case-by-case review or submission of additional clinical documentation.</w:t>
      </w:r>
    </w:p>
    <w:p w14:paraId="28929295" w14:textId="77777777" w:rsidR="00396CA6" w:rsidRDefault="00396CA6"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542F8">
        <w:rPr>
          <w:rFonts w:ascii="Times New Roman" w:eastAsia="Times New Roman" w:hAnsi="Times New Roman" w:cs="Times New Roman"/>
          <w:sz w:val="24"/>
          <w:szCs w:val="24"/>
        </w:rPr>
        <w:t>Claim Line</w:t>
      </w:r>
      <w:r>
        <w:rPr>
          <w:rFonts w:ascii="Times New Roman" w:eastAsia="Times New Roman" w:hAnsi="Times New Roman" w:cs="Times New Roman"/>
          <w:sz w:val="24"/>
          <w:szCs w:val="24"/>
        </w:rPr>
        <w:t>” means e</w:t>
      </w:r>
      <w:r w:rsidRPr="005542F8">
        <w:rPr>
          <w:rFonts w:ascii="Times New Roman" w:eastAsia="Times New Roman" w:hAnsi="Times New Roman" w:cs="Times New Roman"/>
          <w:sz w:val="24"/>
          <w:szCs w:val="24"/>
        </w:rPr>
        <w:t>ach allowed billing code line item on a claim form.</w:t>
      </w:r>
    </w:p>
    <w:p w14:paraId="1A0E2131" w14:textId="7EB0F161" w:rsidR="00396CA6" w:rsidRDefault="00396CA6"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“Claims </w:t>
      </w:r>
      <w:r w:rsidR="007E13FC">
        <w:rPr>
          <w:rFonts w:ascii="Times New Roman" w:eastAsia="Times New Roman" w:hAnsi="Times New Roman" w:cs="Times New Roman"/>
          <w:sz w:val="24"/>
          <w:szCs w:val="24"/>
        </w:rPr>
        <w:t>S</w:t>
      </w:r>
      <w:r>
        <w:rPr>
          <w:rFonts w:ascii="Times New Roman" w:eastAsia="Times New Roman" w:hAnsi="Times New Roman" w:cs="Times New Roman"/>
          <w:sz w:val="24"/>
          <w:szCs w:val="24"/>
        </w:rPr>
        <w:t>ubmitted” means claims b</w:t>
      </w:r>
      <w:r w:rsidRPr="005063F2">
        <w:rPr>
          <w:rFonts w:ascii="Times New Roman" w:eastAsia="Times New Roman" w:hAnsi="Times New Roman" w:cs="Times New Roman"/>
          <w:sz w:val="24"/>
          <w:szCs w:val="24"/>
        </w:rPr>
        <w:t>ased on volume of individual claims and not based on dollar amounts. If there are multiple claims for an admission or course of treatment, each claim is counted individually.</w:t>
      </w:r>
    </w:p>
    <w:p w14:paraId="634246C3" w14:textId="308E3AEE" w:rsidR="00514AE0" w:rsidRDefault="00514AE0"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“Concurrent Review” means d</w:t>
      </w:r>
      <w:r w:rsidRPr="00514AE0">
        <w:rPr>
          <w:rFonts w:ascii="Times New Roman" w:eastAsia="Times New Roman" w:hAnsi="Times New Roman" w:cs="Times New Roman"/>
          <w:sz w:val="24"/>
          <w:szCs w:val="24"/>
        </w:rPr>
        <w:t xml:space="preserve">enials are to be counted separately for each review conducted during the course of an admission, stay, or episode of treatment. Do not include data for “notifications,” as that term is defined by the carrier or plan.  </w:t>
      </w:r>
    </w:p>
    <w:p w14:paraId="73774559" w14:textId="4584E5C1" w:rsidR="00396CA6" w:rsidRDefault="00396CA6" w:rsidP="00F06365">
      <w:pPr>
        <w:ind w:left="0" w:firstLine="0"/>
        <w:rPr>
          <w:rFonts w:ascii="Times New Roman" w:eastAsia="Times New Roman" w:hAnsi="Times New Roman" w:cs="Times New Roman"/>
          <w:sz w:val="24"/>
          <w:szCs w:val="24"/>
        </w:rPr>
      </w:pPr>
      <w:r w:rsidRPr="00396CA6">
        <w:rPr>
          <w:rFonts w:ascii="Times New Roman" w:eastAsia="Times New Roman" w:hAnsi="Times New Roman" w:cs="Times New Roman"/>
          <w:sz w:val="24"/>
          <w:szCs w:val="24"/>
        </w:rPr>
        <w:t>“Crisis” means the experience of stress, emotional or behavioral symptoms, difficulties with substance use, or a traumatic event that compromises an individual’s ability to function within their current family and living situation, school, workplace, or community, as defined by the individual experiencing the crisis. (</w:t>
      </w:r>
      <w:r w:rsidR="00102EAB">
        <w:rPr>
          <w:rFonts w:ascii="Times New Roman" w:eastAsia="Times New Roman" w:hAnsi="Times New Roman" w:cs="Times New Roman"/>
          <w:sz w:val="24"/>
          <w:szCs w:val="24"/>
        </w:rPr>
        <w:t xml:space="preserve">See </w:t>
      </w:r>
      <w:r w:rsidRPr="00396CA6">
        <w:rPr>
          <w:rFonts w:ascii="Times New Roman" w:eastAsia="Times New Roman" w:hAnsi="Times New Roman" w:cs="Times New Roman"/>
          <w:sz w:val="24"/>
          <w:szCs w:val="24"/>
        </w:rPr>
        <w:t>COMAR 10.09.16.01B.(4))</w:t>
      </w:r>
    </w:p>
    <w:p w14:paraId="1EAEDB49" w14:textId="443514F9" w:rsidR="00355A01" w:rsidRPr="00801CF6" w:rsidRDefault="007E13F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“Crisis and Emergency S</w:t>
      </w:r>
      <w:r w:rsidR="00355A01" w:rsidRPr="00801CF6">
        <w:rPr>
          <w:rFonts w:ascii="Times New Roman" w:eastAsia="Times New Roman" w:hAnsi="Times New Roman" w:cs="Times New Roman"/>
          <w:sz w:val="24"/>
          <w:szCs w:val="24"/>
        </w:rPr>
        <w:t xml:space="preserve">ervices” means </w:t>
      </w:r>
      <w:r w:rsidR="0012484F" w:rsidRPr="00801CF6">
        <w:rPr>
          <w:rFonts w:ascii="Times New Roman" w:eastAsia="Times New Roman" w:hAnsi="Times New Roman" w:cs="Times New Roman"/>
          <w:sz w:val="24"/>
          <w:szCs w:val="24"/>
        </w:rPr>
        <w:t xml:space="preserve">services delivered </w:t>
      </w:r>
      <w:r w:rsidR="00514A37">
        <w:rPr>
          <w:rFonts w:ascii="Times New Roman" w:eastAsia="Times New Roman" w:hAnsi="Times New Roman" w:cs="Times New Roman"/>
          <w:sz w:val="24"/>
          <w:szCs w:val="24"/>
        </w:rPr>
        <w:t>at or by the following</w:t>
      </w:r>
      <w:r w:rsidR="00355A01" w:rsidRPr="00801CF6">
        <w:rPr>
          <w:rFonts w:ascii="Times New Roman" w:eastAsia="Times New Roman" w:hAnsi="Times New Roman" w:cs="Times New Roman"/>
          <w:sz w:val="24"/>
          <w:szCs w:val="24"/>
        </w:rPr>
        <w:t xml:space="preserve">: </w:t>
      </w:r>
    </w:p>
    <w:p w14:paraId="351F39BD" w14:textId="27D968B7" w:rsidR="00355A01" w:rsidRPr="009F6F74" w:rsidRDefault="007E36C2" w:rsidP="00F06365">
      <w:pPr>
        <w:pStyle w:val="ListParagraph"/>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MH/SUD </w:t>
      </w:r>
      <w:r w:rsidR="00355A01" w:rsidRPr="009F6F74">
        <w:rPr>
          <w:rFonts w:ascii="Times New Roman" w:eastAsia="Times New Roman" w:hAnsi="Times New Roman" w:cs="Times New Roman"/>
          <w:sz w:val="24"/>
          <w:szCs w:val="24"/>
        </w:rPr>
        <w:t>Crisis Stabilization Facilit</w:t>
      </w:r>
      <w:r>
        <w:rPr>
          <w:rFonts w:ascii="Times New Roman" w:eastAsia="Times New Roman" w:hAnsi="Times New Roman" w:cs="Times New Roman"/>
          <w:sz w:val="24"/>
          <w:szCs w:val="24"/>
        </w:rPr>
        <w:t>y</w:t>
      </w:r>
      <w:r w:rsidR="00355A01" w:rsidRPr="009F6F74">
        <w:rPr>
          <w:rFonts w:ascii="Times New Roman" w:eastAsia="Times New Roman" w:hAnsi="Times New Roman" w:cs="Times New Roman"/>
          <w:sz w:val="24"/>
          <w:szCs w:val="24"/>
        </w:rPr>
        <w:t xml:space="preserve">/Behavioral Health Crisis Stabilization Center </w:t>
      </w:r>
      <w:r w:rsidR="00C342C2">
        <w:rPr>
          <w:rFonts w:ascii="Times New Roman" w:eastAsia="Times New Roman" w:hAnsi="Times New Roman" w:cs="Times New Roman"/>
          <w:sz w:val="24"/>
          <w:szCs w:val="24"/>
        </w:rPr>
        <w:t>(</w:t>
      </w:r>
      <w:r w:rsidR="00F06365">
        <w:rPr>
          <w:rFonts w:ascii="Times New Roman" w:eastAsia="Times New Roman" w:hAnsi="Times New Roman" w:cs="Times New Roman"/>
          <w:sz w:val="24"/>
          <w:szCs w:val="24"/>
        </w:rPr>
        <w:t>s</w:t>
      </w:r>
      <w:r w:rsidR="00102EAB">
        <w:rPr>
          <w:rFonts w:ascii="Times New Roman" w:eastAsia="Times New Roman" w:hAnsi="Times New Roman" w:cs="Times New Roman"/>
          <w:sz w:val="24"/>
          <w:szCs w:val="24"/>
        </w:rPr>
        <w:t xml:space="preserve">ee </w:t>
      </w:r>
      <w:r w:rsidR="00486599" w:rsidRPr="009F6F74">
        <w:rPr>
          <w:rFonts w:ascii="Times New Roman" w:eastAsia="Times New Roman" w:hAnsi="Times New Roman" w:cs="Times New Roman"/>
          <w:sz w:val="24"/>
          <w:szCs w:val="24"/>
        </w:rPr>
        <w:t>COMAR 10.63.03.21</w:t>
      </w:r>
      <w:r>
        <w:rPr>
          <w:rFonts w:ascii="Times New Roman" w:eastAsia="Times New Roman" w:hAnsi="Times New Roman" w:cs="Times New Roman"/>
          <w:sz w:val="24"/>
          <w:szCs w:val="24"/>
        </w:rPr>
        <w:t>)</w:t>
      </w:r>
      <w:r w:rsidR="00757D14">
        <w:rPr>
          <w:rFonts w:ascii="Times New Roman" w:eastAsia="Times New Roman" w:hAnsi="Times New Roman" w:cs="Times New Roman"/>
          <w:sz w:val="24"/>
          <w:szCs w:val="24"/>
        </w:rPr>
        <w:t>;</w:t>
      </w:r>
    </w:p>
    <w:p w14:paraId="3FB6E3C8" w14:textId="25456948" w:rsidR="000A46EF" w:rsidRPr="009F6F74" w:rsidRDefault="000A46EF" w:rsidP="00F06365">
      <w:pPr>
        <w:pStyle w:val="ListParagraph"/>
        <w:numPr>
          <w:ilvl w:val="0"/>
          <w:numId w:val="33"/>
        </w:numPr>
        <w:rPr>
          <w:rFonts w:ascii="Times New Roman" w:eastAsia="Times New Roman" w:hAnsi="Times New Roman" w:cs="Times New Roman"/>
          <w:sz w:val="24"/>
          <w:szCs w:val="24"/>
        </w:rPr>
      </w:pPr>
      <w:r w:rsidRPr="009F6F74">
        <w:rPr>
          <w:rFonts w:ascii="Times New Roman" w:eastAsia="Times New Roman" w:hAnsi="Times New Roman" w:cs="Times New Roman"/>
          <w:sz w:val="24"/>
          <w:szCs w:val="24"/>
        </w:rPr>
        <w:t xml:space="preserve">Emergency Department of a Hospital, including a Freestanding </w:t>
      </w:r>
      <w:r w:rsidR="00C342C2">
        <w:rPr>
          <w:rFonts w:ascii="Times New Roman" w:eastAsia="Times New Roman" w:hAnsi="Times New Roman" w:cs="Times New Roman"/>
          <w:sz w:val="24"/>
          <w:szCs w:val="24"/>
        </w:rPr>
        <w:t xml:space="preserve">Emergency </w:t>
      </w:r>
      <w:r w:rsidR="00BF16B9">
        <w:rPr>
          <w:rFonts w:ascii="Times New Roman" w:eastAsia="Times New Roman" w:hAnsi="Times New Roman" w:cs="Times New Roman"/>
          <w:sz w:val="24"/>
          <w:szCs w:val="24"/>
        </w:rPr>
        <w:t>Medical Facility</w:t>
      </w:r>
      <w:r w:rsidR="009A24F7">
        <w:rPr>
          <w:rFonts w:ascii="Times New Roman" w:eastAsia="Times New Roman" w:hAnsi="Times New Roman" w:cs="Times New Roman"/>
          <w:sz w:val="24"/>
          <w:szCs w:val="24"/>
        </w:rPr>
        <w:t xml:space="preserve"> (</w:t>
      </w:r>
      <w:r w:rsidR="00F06365">
        <w:rPr>
          <w:rFonts w:ascii="Times New Roman" w:eastAsia="Times New Roman" w:hAnsi="Times New Roman" w:cs="Times New Roman"/>
          <w:sz w:val="24"/>
          <w:szCs w:val="24"/>
        </w:rPr>
        <w:t>s</w:t>
      </w:r>
      <w:r w:rsidR="00102EAB">
        <w:rPr>
          <w:rFonts w:ascii="Times New Roman" w:eastAsia="Times New Roman" w:hAnsi="Times New Roman" w:cs="Times New Roman"/>
          <w:sz w:val="24"/>
          <w:szCs w:val="24"/>
        </w:rPr>
        <w:t xml:space="preserve">ee </w:t>
      </w:r>
      <w:r w:rsidR="009A24F7" w:rsidRPr="009A24F7">
        <w:rPr>
          <w:rFonts w:ascii="Times New Roman" w:eastAsia="Times New Roman" w:hAnsi="Times New Roman" w:cs="Times New Roman"/>
          <w:sz w:val="24"/>
          <w:szCs w:val="24"/>
        </w:rPr>
        <w:t>COMAR 30.08.15)</w:t>
      </w:r>
      <w:r w:rsidR="009A24F7">
        <w:rPr>
          <w:rFonts w:ascii="Times New Roman" w:eastAsia="Times New Roman" w:hAnsi="Times New Roman" w:cs="Times New Roman"/>
          <w:sz w:val="24"/>
          <w:szCs w:val="24"/>
        </w:rPr>
        <w:t>;</w:t>
      </w:r>
    </w:p>
    <w:p w14:paraId="5FFC143F" w14:textId="1AF4BCC4" w:rsidR="00355A01" w:rsidRPr="009F6F74" w:rsidRDefault="00355A01" w:rsidP="00F06365">
      <w:pPr>
        <w:pStyle w:val="ListParagraph"/>
        <w:numPr>
          <w:ilvl w:val="0"/>
          <w:numId w:val="33"/>
        </w:numPr>
        <w:rPr>
          <w:rFonts w:ascii="Times New Roman" w:eastAsia="Times New Roman" w:hAnsi="Times New Roman" w:cs="Times New Roman"/>
          <w:sz w:val="24"/>
          <w:szCs w:val="24"/>
        </w:rPr>
      </w:pPr>
      <w:r w:rsidRPr="009F6F74">
        <w:rPr>
          <w:rFonts w:ascii="Times New Roman" w:eastAsia="Times New Roman" w:hAnsi="Times New Roman" w:cs="Times New Roman"/>
          <w:sz w:val="24"/>
          <w:szCs w:val="24"/>
        </w:rPr>
        <w:t>MH/SUD 24-Hour Crisis</w:t>
      </w:r>
      <w:r w:rsidR="0012484F" w:rsidRPr="009F6F74">
        <w:rPr>
          <w:rFonts w:ascii="Times New Roman" w:eastAsia="Times New Roman" w:hAnsi="Times New Roman" w:cs="Times New Roman"/>
          <w:sz w:val="24"/>
          <w:szCs w:val="24"/>
        </w:rPr>
        <w:t xml:space="preserve"> </w:t>
      </w:r>
      <w:r w:rsidRPr="009F6F74">
        <w:rPr>
          <w:rFonts w:ascii="Times New Roman" w:eastAsia="Times New Roman" w:hAnsi="Times New Roman" w:cs="Times New Roman"/>
          <w:sz w:val="24"/>
          <w:szCs w:val="24"/>
        </w:rPr>
        <w:t xml:space="preserve">Residential </w:t>
      </w:r>
      <w:r w:rsidR="009A24F7">
        <w:rPr>
          <w:rFonts w:ascii="Times New Roman" w:eastAsia="Times New Roman" w:hAnsi="Times New Roman" w:cs="Times New Roman"/>
          <w:sz w:val="24"/>
          <w:szCs w:val="24"/>
        </w:rPr>
        <w:t xml:space="preserve">Facility </w:t>
      </w:r>
      <w:r w:rsidRPr="009F6F74">
        <w:rPr>
          <w:rFonts w:ascii="Times New Roman" w:eastAsia="Times New Roman" w:hAnsi="Times New Roman" w:cs="Times New Roman"/>
          <w:sz w:val="24"/>
          <w:szCs w:val="24"/>
        </w:rPr>
        <w:t xml:space="preserve">(sub-acute inpatient) </w:t>
      </w:r>
      <w:r w:rsidR="00102EAB">
        <w:rPr>
          <w:rFonts w:ascii="Times New Roman" w:eastAsia="Times New Roman" w:hAnsi="Times New Roman" w:cs="Times New Roman"/>
          <w:sz w:val="24"/>
          <w:szCs w:val="24"/>
        </w:rPr>
        <w:t>(</w:t>
      </w:r>
      <w:r w:rsidR="00F06365">
        <w:rPr>
          <w:rFonts w:ascii="Times New Roman" w:eastAsia="Times New Roman" w:hAnsi="Times New Roman" w:cs="Times New Roman"/>
          <w:sz w:val="24"/>
          <w:szCs w:val="24"/>
        </w:rPr>
        <w:t>s</w:t>
      </w:r>
      <w:r w:rsidR="00102EAB">
        <w:rPr>
          <w:rFonts w:ascii="Times New Roman" w:eastAsia="Times New Roman" w:hAnsi="Times New Roman" w:cs="Times New Roman"/>
          <w:sz w:val="24"/>
          <w:szCs w:val="24"/>
        </w:rPr>
        <w:t xml:space="preserve">ee </w:t>
      </w:r>
      <w:r w:rsidRPr="009F6F74">
        <w:rPr>
          <w:rFonts w:ascii="Times New Roman" w:eastAsia="Times New Roman" w:hAnsi="Times New Roman" w:cs="Times New Roman"/>
          <w:sz w:val="24"/>
          <w:szCs w:val="24"/>
        </w:rPr>
        <w:t>COMAR 10.63.04.04</w:t>
      </w:r>
      <w:r w:rsidR="00A90D39">
        <w:rPr>
          <w:rFonts w:ascii="Times New Roman" w:eastAsia="Times New Roman" w:hAnsi="Times New Roman" w:cs="Times New Roman"/>
          <w:sz w:val="24"/>
          <w:szCs w:val="24"/>
        </w:rPr>
        <w:t>)</w:t>
      </w:r>
      <w:r w:rsidR="00757D14">
        <w:rPr>
          <w:rFonts w:ascii="Times New Roman" w:eastAsia="Times New Roman" w:hAnsi="Times New Roman" w:cs="Times New Roman"/>
          <w:sz w:val="24"/>
          <w:szCs w:val="24"/>
        </w:rPr>
        <w:t>; and</w:t>
      </w:r>
    </w:p>
    <w:p w14:paraId="454AE0B3" w14:textId="68162FB2" w:rsidR="0012484F" w:rsidRDefault="0012484F" w:rsidP="00F06365">
      <w:pPr>
        <w:pStyle w:val="ListParagraph"/>
        <w:numPr>
          <w:ilvl w:val="0"/>
          <w:numId w:val="33"/>
        </w:numPr>
        <w:rPr>
          <w:rFonts w:ascii="Times New Roman" w:eastAsia="Times New Roman" w:hAnsi="Times New Roman" w:cs="Times New Roman"/>
          <w:sz w:val="24"/>
          <w:szCs w:val="24"/>
        </w:rPr>
      </w:pPr>
      <w:r w:rsidRPr="009F6F74">
        <w:rPr>
          <w:rFonts w:ascii="Times New Roman" w:eastAsia="Times New Roman" w:hAnsi="Times New Roman" w:cs="Times New Roman"/>
          <w:sz w:val="24"/>
          <w:szCs w:val="24"/>
        </w:rPr>
        <w:t xml:space="preserve">Mobile Crisis Team </w:t>
      </w:r>
      <w:r w:rsidR="00FC16D3">
        <w:rPr>
          <w:rFonts w:ascii="Times New Roman" w:eastAsia="Times New Roman" w:hAnsi="Times New Roman" w:cs="Times New Roman"/>
          <w:sz w:val="24"/>
          <w:szCs w:val="24"/>
        </w:rPr>
        <w:t>(</w:t>
      </w:r>
      <w:r w:rsidR="00F06365">
        <w:rPr>
          <w:rFonts w:ascii="Times New Roman" w:eastAsia="Times New Roman" w:hAnsi="Times New Roman" w:cs="Times New Roman"/>
          <w:sz w:val="24"/>
          <w:szCs w:val="24"/>
        </w:rPr>
        <w:t xml:space="preserve">see </w:t>
      </w:r>
      <w:r w:rsidR="00486599" w:rsidRPr="009F6F74">
        <w:rPr>
          <w:rFonts w:ascii="Times New Roman" w:eastAsia="Times New Roman" w:hAnsi="Times New Roman" w:cs="Times New Roman"/>
          <w:sz w:val="24"/>
          <w:szCs w:val="24"/>
        </w:rPr>
        <w:t>COMAR 10.63.03.20</w:t>
      </w:r>
      <w:r w:rsidR="00757D14">
        <w:rPr>
          <w:rFonts w:ascii="Times New Roman" w:eastAsia="Times New Roman" w:hAnsi="Times New Roman" w:cs="Times New Roman"/>
          <w:sz w:val="24"/>
          <w:szCs w:val="24"/>
        </w:rPr>
        <w:t>.</w:t>
      </w:r>
      <w:r w:rsidR="00FC16D3">
        <w:rPr>
          <w:rFonts w:ascii="Times New Roman" w:eastAsia="Times New Roman" w:hAnsi="Times New Roman" w:cs="Times New Roman"/>
          <w:sz w:val="24"/>
          <w:szCs w:val="24"/>
        </w:rPr>
        <w:t>)</w:t>
      </w:r>
    </w:p>
    <w:p w14:paraId="66CB6AFC" w14:textId="17C5A659" w:rsidR="00F5739C" w:rsidRDefault="00F5739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“Denial” means any Adverse Decision,</w:t>
      </w:r>
      <w:r w:rsidRPr="00F5739C">
        <w:rPr>
          <w:rFonts w:ascii="Times New Roman" w:eastAsia="Times New Roman" w:hAnsi="Times New Roman" w:cs="Times New Roman"/>
          <w:sz w:val="24"/>
          <w:szCs w:val="24"/>
        </w:rPr>
        <w:t xml:space="preserve"> meaning a utilization review determination that a proposed or delivered health care service covered under the member’s contract is or was not medically necessary, appropriate, or efficient; and may result in non</w:t>
      </w:r>
      <w:r w:rsidR="006B27D0">
        <w:rPr>
          <w:rFonts w:ascii="Times New Roman" w:eastAsia="Times New Roman" w:hAnsi="Times New Roman" w:cs="Times New Roman"/>
          <w:sz w:val="24"/>
          <w:szCs w:val="24"/>
        </w:rPr>
        <w:t>-</w:t>
      </w:r>
      <w:r w:rsidRPr="00F5739C">
        <w:rPr>
          <w:rFonts w:ascii="Times New Roman" w:eastAsia="Times New Roman" w:hAnsi="Times New Roman" w:cs="Times New Roman"/>
          <w:sz w:val="24"/>
          <w:szCs w:val="24"/>
        </w:rPr>
        <w:t>coverage of the health care service. (</w:t>
      </w:r>
      <w:r w:rsidR="00F06365">
        <w:rPr>
          <w:rFonts w:ascii="Times New Roman" w:eastAsia="Times New Roman" w:hAnsi="Times New Roman" w:cs="Times New Roman"/>
          <w:sz w:val="24"/>
          <w:szCs w:val="24"/>
        </w:rPr>
        <w:t xml:space="preserve">See </w:t>
      </w:r>
      <w:r w:rsidRPr="00F5739C">
        <w:rPr>
          <w:rFonts w:ascii="Times New Roman" w:eastAsia="Times New Roman" w:hAnsi="Times New Roman" w:cs="Times New Roman"/>
          <w:sz w:val="24"/>
          <w:szCs w:val="24"/>
        </w:rPr>
        <w:t xml:space="preserve">§15-10A-01(b)(1)(i)). </w:t>
      </w:r>
      <w:r>
        <w:rPr>
          <w:rFonts w:ascii="Times New Roman" w:eastAsia="Times New Roman" w:hAnsi="Times New Roman" w:cs="Times New Roman"/>
          <w:sz w:val="24"/>
          <w:szCs w:val="24"/>
        </w:rPr>
        <w:t>See the Definitions and Instructions tab to Data Supplement 5(A)</w:t>
      </w:r>
      <w:r w:rsidR="00926F69">
        <w:rPr>
          <w:rFonts w:ascii="Times New Roman" w:eastAsia="Times New Roman" w:hAnsi="Times New Roman" w:cs="Times New Roman"/>
          <w:sz w:val="24"/>
          <w:szCs w:val="24"/>
        </w:rPr>
        <w:t xml:space="preserve"> for the complete </w:t>
      </w:r>
      <w:r>
        <w:rPr>
          <w:rFonts w:ascii="Times New Roman" w:eastAsia="Times New Roman" w:hAnsi="Times New Roman" w:cs="Times New Roman"/>
          <w:sz w:val="24"/>
          <w:szCs w:val="24"/>
        </w:rPr>
        <w:t>definition.</w:t>
      </w:r>
    </w:p>
    <w:p w14:paraId="2FCE1959" w14:textId="58FFC504" w:rsidR="00396CA6" w:rsidRDefault="007E13F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D</w:t>
      </w:r>
      <w:r w:rsidR="00396CA6" w:rsidRPr="00396CA6">
        <w:rPr>
          <w:rFonts w:ascii="Times New Roman" w:eastAsia="Times New Roman" w:hAnsi="Times New Roman" w:cs="Times New Roman"/>
          <w:sz w:val="24"/>
          <w:szCs w:val="24"/>
        </w:rPr>
        <w:t>epartment" means the area in a hospital that is designed, staffed, and equipped to provide prompt treatment to individuals requiring immediate medical, MH, or SUD care for acute illness, trauma, and other conditions.</w:t>
      </w:r>
    </w:p>
    <w:p w14:paraId="252FD2B3" w14:textId="1B69FCDC" w:rsidR="00FD3227" w:rsidRPr="00FD3227" w:rsidRDefault="007E13F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S</w:t>
      </w:r>
      <w:r w:rsidR="00FD3227" w:rsidRPr="00FD3227">
        <w:rPr>
          <w:rFonts w:ascii="Times New Roman" w:eastAsia="Times New Roman" w:hAnsi="Times New Roman" w:cs="Times New Roman"/>
          <w:sz w:val="24"/>
          <w:szCs w:val="24"/>
        </w:rPr>
        <w:t>ervices" means (1) a screening examination within the capability of the emergency department of a hospital or freestanding emergency medical facility, including ancillary services routinely available to the emergency department to evaluate an emergency medical or MH or SUD condition; (2) any other examination or treatment within the capabilities of the staff and facilities available at the hospital or freestanding emergency medical facility that is necessary to stabilize the patient, regardless of the department of the hospital in which the examination or treatment is furnished; or (3) additional covered items and services furnished by a provider of emergency services that does not have a contractual relationship with the carrier after the patient is stabilized and as part of outpatient observation or an inpatient or outpatient stay with respect to the visit in which the services described in items (1) and (2) are furnished; and (4) services described in (1)-(3) provided in specialized facilities staffed by behavioral health providers trained to provide crisis services. (See § 15-1A-14(a)(3))</w:t>
      </w:r>
    </w:p>
    <w:p w14:paraId="457334FE" w14:textId="3B50A22C" w:rsidR="00355A01" w:rsidRPr="000A46EF" w:rsidRDefault="00832184" w:rsidP="00F06365">
      <w:pPr>
        <w:pStyle w:val="ListParagraph"/>
        <w:ind w:left="0" w:firstLine="0"/>
        <w:rPr>
          <w:rFonts w:ascii="Times New Roman" w:hAnsi="Times New Roman" w:cs="Times New Roman"/>
          <w:sz w:val="24"/>
          <w:szCs w:val="24"/>
        </w:rPr>
      </w:pPr>
      <w:r w:rsidRPr="000A46EF">
        <w:rPr>
          <w:rFonts w:ascii="Times New Roman" w:hAnsi="Times New Roman" w:cs="Times New Roman"/>
          <w:sz w:val="24"/>
          <w:szCs w:val="24"/>
        </w:rPr>
        <w:t>“Experimental/Investigational/Unproven</w:t>
      </w:r>
      <w:r w:rsidR="00584A8A" w:rsidRPr="000A46EF">
        <w:rPr>
          <w:rFonts w:ascii="Times New Roman" w:hAnsi="Times New Roman" w:cs="Times New Roman"/>
          <w:sz w:val="24"/>
          <w:szCs w:val="24"/>
        </w:rPr>
        <w:t xml:space="preserve"> Service</w:t>
      </w:r>
      <w:r w:rsidRPr="000A46EF">
        <w:rPr>
          <w:rFonts w:ascii="Times New Roman" w:hAnsi="Times New Roman" w:cs="Times New Roman"/>
          <w:sz w:val="24"/>
          <w:szCs w:val="24"/>
        </w:rPr>
        <w:t xml:space="preserve">” means </w:t>
      </w:r>
      <w:r w:rsidR="00584A8A" w:rsidRPr="000A46EF">
        <w:rPr>
          <w:rFonts w:ascii="Times New Roman" w:hAnsi="Times New Roman" w:cs="Times New Roman"/>
          <w:sz w:val="24"/>
          <w:szCs w:val="24"/>
        </w:rPr>
        <w:t xml:space="preserve">a treatment, procedure, facility, type of equipment or device, drug, service, or supply that has been determined not to be medically effective for the condition being treated. </w:t>
      </w:r>
    </w:p>
    <w:p w14:paraId="2969B446" w14:textId="5DEE97FD" w:rsidR="00DB10C0" w:rsidRDefault="00203C8B" w:rsidP="00F06365">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 “Facility” means a person, other than an individual, that provides health care services. “Facility” includes entities that bill for a bundled set of services that include services provided by staff employed by the facility. Examples of facilities include hospitals, outpatient radiology centers, </w:t>
      </w:r>
      <w:r w:rsidR="00B2351F" w:rsidRPr="00801CF6">
        <w:rPr>
          <w:rFonts w:ascii="Times New Roman" w:eastAsia="Times New Roman" w:hAnsi="Times New Roman" w:cs="Times New Roman"/>
          <w:sz w:val="24"/>
          <w:szCs w:val="24"/>
        </w:rPr>
        <w:t xml:space="preserve">opioid treatment services providers, community mental health centers, </w:t>
      </w:r>
      <w:r w:rsidRPr="00801CF6">
        <w:rPr>
          <w:rFonts w:ascii="Times New Roman" w:eastAsia="Times New Roman" w:hAnsi="Times New Roman" w:cs="Times New Roman"/>
          <w:sz w:val="24"/>
          <w:szCs w:val="24"/>
        </w:rPr>
        <w:t>and residential treatment centers.</w:t>
      </w:r>
    </w:p>
    <w:p w14:paraId="2549A498" w14:textId="37BFCFBB" w:rsidR="00F5739C" w:rsidRDefault="00F5739C" w:rsidP="00F06365">
      <w:pPr>
        <w:ind w:left="0" w:firstLine="0"/>
        <w:rPr>
          <w:rFonts w:ascii="Times New Roman" w:eastAsia="Times New Roman" w:hAnsi="Times New Roman" w:cs="Times New Roman"/>
          <w:sz w:val="24"/>
          <w:szCs w:val="24"/>
        </w:rPr>
      </w:pPr>
      <w:r w:rsidRPr="008252BA">
        <w:rPr>
          <w:rFonts w:ascii="Times New Roman" w:eastAsia="Times New Roman" w:hAnsi="Times New Roman" w:cs="Times New Roman"/>
          <w:sz w:val="24"/>
          <w:szCs w:val="24"/>
        </w:rPr>
        <w:t>“Facility-Based Professional Services</w:t>
      </w:r>
      <w:r w:rsidR="006B27D0" w:rsidRPr="008252BA">
        <w:rPr>
          <w:rFonts w:ascii="Times New Roman" w:eastAsia="Times New Roman" w:hAnsi="Times New Roman" w:cs="Times New Roman"/>
          <w:sz w:val="24"/>
          <w:szCs w:val="24"/>
        </w:rPr>
        <w:t>.</w:t>
      </w:r>
      <w:r w:rsidRPr="008252BA">
        <w:rPr>
          <w:rFonts w:ascii="Times New Roman" w:eastAsia="Times New Roman" w:hAnsi="Times New Roman" w:cs="Times New Roman"/>
          <w:sz w:val="24"/>
          <w:szCs w:val="24"/>
        </w:rPr>
        <w:t>”</w:t>
      </w:r>
      <w:r w:rsidR="006B27D0" w:rsidRPr="008252BA">
        <w:rPr>
          <w:rFonts w:ascii="Times New Roman" w:eastAsia="Times New Roman" w:hAnsi="Times New Roman" w:cs="Times New Roman"/>
          <w:sz w:val="24"/>
          <w:szCs w:val="24"/>
        </w:rPr>
        <w:t xml:space="preserve"> S</w:t>
      </w:r>
      <w:r w:rsidRPr="008252BA">
        <w:rPr>
          <w:rFonts w:ascii="Times New Roman" w:eastAsia="Times New Roman" w:hAnsi="Times New Roman" w:cs="Times New Roman"/>
          <w:sz w:val="24"/>
          <w:szCs w:val="24"/>
        </w:rPr>
        <w:t>ee the Definitions and Instructions tab in Data Supplement 5(A).</w:t>
      </w:r>
      <w:r>
        <w:rPr>
          <w:rFonts w:ascii="Times New Roman" w:eastAsia="Times New Roman" w:hAnsi="Times New Roman" w:cs="Times New Roman"/>
          <w:sz w:val="24"/>
          <w:szCs w:val="24"/>
        </w:rPr>
        <w:t xml:space="preserve"> </w:t>
      </w:r>
    </w:p>
    <w:p w14:paraId="15D3F13A" w14:textId="326B9E15" w:rsidR="008F74A2" w:rsidRDefault="008F74A2"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“Facility Services</w:t>
      </w:r>
      <w:r w:rsidR="00A577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5771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ee the Definitions and Instructions tab in Data Supplement 5(A). </w:t>
      </w:r>
    </w:p>
    <w:p w14:paraId="32983AD4" w14:textId="325DF1B9" w:rsidR="00FD3227" w:rsidRDefault="00FD3227" w:rsidP="00F06365">
      <w:pPr>
        <w:ind w:left="0" w:firstLine="0"/>
        <w:rPr>
          <w:rFonts w:ascii="Times New Roman" w:eastAsia="Times New Roman" w:hAnsi="Times New Roman" w:cs="Times New Roman"/>
          <w:sz w:val="24"/>
          <w:szCs w:val="24"/>
        </w:rPr>
      </w:pPr>
      <w:r w:rsidRPr="00FD3227">
        <w:rPr>
          <w:rFonts w:ascii="Times New Roman" w:eastAsia="Times New Roman" w:hAnsi="Times New Roman" w:cs="Times New Roman"/>
          <w:sz w:val="24"/>
          <w:szCs w:val="24"/>
        </w:rPr>
        <w:lastRenderedPageBreak/>
        <w:t>"Formulary Exception" means a drug exception process by which an insured can request in standard situations access to a drug that is not on the plan’s formulary l</w:t>
      </w:r>
      <w:r>
        <w:rPr>
          <w:rFonts w:ascii="Times New Roman" w:eastAsia="Times New Roman" w:hAnsi="Times New Roman" w:cs="Times New Roman"/>
          <w:sz w:val="24"/>
          <w:szCs w:val="24"/>
        </w:rPr>
        <w:t>ist.</w:t>
      </w:r>
    </w:p>
    <w:p w14:paraId="590F1CE6" w14:textId="6C1F80FE" w:rsidR="00396CA6" w:rsidRDefault="00396CA6" w:rsidP="00F06365">
      <w:pPr>
        <w:ind w:left="0" w:firstLine="0"/>
        <w:rPr>
          <w:rFonts w:ascii="Times New Roman" w:eastAsia="Times New Roman" w:hAnsi="Times New Roman" w:cs="Times New Roman"/>
          <w:sz w:val="24"/>
          <w:szCs w:val="24"/>
        </w:rPr>
      </w:pPr>
      <w:r w:rsidRPr="00396CA6">
        <w:rPr>
          <w:rFonts w:ascii="Times New Roman" w:eastAsia="Times New Roman" w:hAnsi="Times New Roman" w:cs="Times New Roman"/>
          <w:sz w:val="24"/>
          <w:szCs w:val="24"/>
        </w:rPr>
        <w:t>“Freestanding Emergency Medical Facility” means a facility licensed by the Maryland Department of Health under §19-3A-02, Health-General Article, Annotated Code of Maryland. (</w:t>
      </w:r>
      <w:r w:rsidR="00F06365">
        <w:rPr>
          <w:rFonts w:ascii="Times New Roman" w:eastAsia="Times New Roman" w:hAnsi="Times New Roman" w:cs="Times New Roman"/>
          <w:sz w:val="24"/>
          <w:szCs w:val="24"/>
        </w:rPr>
        <w:t xml:space="preserve">See </w:t>
      </w:r>
      <w:r w:rsidRPr="00396CA6">
        <w:rPr>
          <w:rFonts w:ascii="Times New Roman" w:eastAsia="Times New Roman" w:hAnsi="Times New Roman" w:cs="Times New Roman"/>
          <w:sz w:val="24"/>
          <w:szCs w:val="24"/>
        </w:rPr>
        <w:t>COMAR 30.08.15)</w:t>
      </w:r>
    </w:p>
    <w:p w14:paraId="1FC0C670" w14:textId="54A162C9" w:rsidR="00514AE0" w:rsidRDefault="00514AE0" w:rsidP="00F06365">
      <w:pPr>
        <w:ind w:left="0" w:firstLine="0"/>
        <w:rPr>
          <w:rFonts w:ascii="Times New Roman" w:eastAsia="Times New Roman" w:hAnsi="Times New Roman" w:cs="Times New Roman"/>
          <w:sz w:val="24"/>
          <w:szCs w:val="24"/>
        </w:rPr>
      </w:pPr>
      <w:r w:rsidRPr="00514AE0">
        <w:rPr>
          <w:rFonts w:ascii="Times New Roman" w:eastAsia="Times New Roman" w:hAnsi="Times New Roman" w:cs="Times New Roman"/>
          <w:sz w:val="24"/>
          <w:szCs w:val="24"/>
        </w:rPr>
        <w:t>“Grievance” means a protest filed by a member, a member’s representative, or a health care provider on behalf of a member with a carrier through the carrier’s internal grievance process regarding an adverse decision concerning the member. (</w:t>
      </w:r>
      <w:r w:rsidR="00AF0738">
        <w:rPr>
          <w:rFonts w:ascii="Times New Roman" w:eastAsia="Times New Roman" w:hAnsi="Times New Roman" w:cs="Times New Roman"/>
          <w:sz w:val="24"/>
          <w:szCs w:val="24"/>
        </w:rPr>
        <w:t xml:space="preserve">See </w:t>
      </w:r>
      <w:r w:rsidRPr="00514AE0">
        <w:rPr>
          <w:rFonts w:ascii="Times New Roman" w:eastAsia="Times New Roman" w:hAnsi="Times New Roman" w:cs="Times New Roman"/>
          <w:sz w:val="24"/>
          <w:szCs w:val="24"/>
        </w:rPr>
        <w:t>§15–10A–01(f))</w:t>
      </w:r>
    </w:p>
    <w:p w14:paraId="5DC5E1E6" w14:textId="081B1E0A" w:rsidR="00514AE0" w:rsidRDefault="00514AE0" w:rsidP="00F06365">
      <w:pPr>
        <w:ind w:left="0" w:firstLine="0"/>
        <w:rPr>
          <w:rFonts w:ascii="Times New Roman" w:eastAsia="Times New Roman" w:hAnsi="Times New Roman" w:cs="Times New Roman"/>
          <w:sz w:val="24"/>
          <w:szCs w:val="24"/>
        </w:rPr>
      </w:pPr>
      <w:r w:rsidRPr="00514AE0">
        <w:rPr>
          <w:rFonts w:ascii="Times New Roman" w:eastAsia="Times New Roman" w:hAnsi="Times New Roman" w:cs="Times New Roman"/>
          <w:sz w:val="24"/>
          <w:szCs w:val="24"/>
        </w:rPr>
        <w:t>"G</w:t>
      </w:r>
      <w:r w:rsidR="007E13FC">
        <w:rPr>
          <w:rFonts w:ascii="Times New Roman" w:eastAsia="Times New Roman" w:hAnsi="Times New Roman" w:cs="Times New Roman"/>
          <w:sz w:val="24"/>
          <w:szCs w:val="24"/>
        </w:rPr>
        <w:t>rievance D</w:t>
      </w:r>
      <w:r w:rsidRPr="00514AE0">
        <w:rPr>
          <w:rFonts w:ascii="Times New Roman" w:eastAsia="Times New Roman" w:hAnsi="Times New Roman" w:cs="Times New Roman"/>
          <w:sz w:val="24"/>
          <w:szCs w:val="24"/>
        </w:rPr>
        <w:t>ecision" means a final determination by a carrier that arises from a grievance filed with the carrier under its internal grievance process regarding an adverse</w:t>
      </w:r>
      <w:r>
        <w:rPr>
          <w:rFonts w:ascii="Times New Roman" w:eastAsia="Times New Roman" w:hAnsi="Times New Roman" w:cs="Times New Roman"/>
          <w:sz w:val="24"/>
          <w:szCs w:val="24"/>
        </w:rPr>
        <w:t xml:space="preserve"> decision concerning a member. </w:t>
      </w:r>
      <w:r w:rsidRPr="00514AE0">
        <w:rPr>
          <w:rFonts w:ascii="Times New Roman" w:eastAsia="Times New Roman" w:hAnsi="Times New Roman" w:cs="Times New Roman"/>
          <w:sz w:val="24"/>
          <w:szCs w:val="24"/>
        </w:rPr>
        <w:t>(</w:t>
      </w:r>
      <w:r w:rsidR="00AF0738">
        <w:rPr>
          <w:rFonts w:ascii="Times New Roman" w:eastAsia="Times New Roman" w:hAnsi="Times New Roman" w:cs="Times New Roman"/>
          <w:sz w:val="24"/>
          <w:szCs w:val="24"/>
        </w:rPr>
        <w:t xml:space="preserve">See </w:t>
      </w:r>
      <w:r w:rsidRPr="00514AE0">
        <w:rPr>
          <w:rFonts w:ascii="Times New Roman" w:eastAsia="Times New Roman" w:hAnsi="Times New Roman" w:cs="Times New Roman"/>
          <w:sz w:val="24"/>
          <w:szCs w:val="24"/>
        </w:rPr>
        <w:t>§15–10A–01(g)).</w:t>
      </w:r>
    </w:p>
    <w:p w14:paraId="2D21E63B" w14:textId="4FAC4C97" w:rsidR="005063F2" w:rsidRDefault="005063F2"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063F2">
        <w:rPr>
          <w:rFonts w:ascii="Times New Roman" w:eastAsia="Times New Roman" w:hAnsi="Times New Roman" w:cs="Times New Roman"/>
          <w:sz w:val="24"/>
          <w:szCs w:val="24"/>
        </w:rPr>
        <w:t>In-Network Claims</w:t>
      </w:r>
      <w:r>
        <w:rPr>
          <w:rFonts w:ascii="Times New Roman" w:eastAsia="Times New Roman" w:hAnsi="Times New Roman" w:cs="Times New Roman"/>
          <w:sz w:val="24"/>
          <w:szCs w:val="24"/>
        </w:rPr>
        <w:t>” means c</w:t>
      </w:r>
      <w:r w:rsidRPr="005063F2">
        <w:rPr>
          <w:rFonts w:ascii="Times New Roman" w:eastAsia="Times New Roman" w:hAnsi="Times New Roman" w:cs="Times New Roman"/>
          <w:sz w:val="24"/>
          <w:szCs w:val="24"/>
        </w:rPr>
        <w:t>laims processed to a member's in-network benefits (excluding network gap exception claims).</w:t>
      </w:r>
    </w:p>
    <w:p w14:paraId="54B1CA79" w14:textId="4ED56326" w:rsidR="005542F8" w:rsidRDefault="005542F8"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542F8">
        <w:rPr>
          <w:rFonts w:ascii="Times New Roman" w:eastAsia="Times New Roman" w:hAnsi="Times New Roman" w:cs="Times New Roman"/>
          <w:sz w:val="24"/>
          <w:szCs w:val="24"/>
        </w:rPr>
        <w:t>In-Network Claim Line</w:t>
      </w:r>
      <w:r>
        <w:rPr>
          <w:rFonts w:ascii="Times New Roman" w:eastAsia="Times New Roman" w:hAnsi="Times New Roman" w:cs="Times New Roman"/>
          <w:sz w:val="24"/>
          <w:szCs w:val="24"/>
        </w:rPr>
        <w:t>” means a</w:t>
      </w:r>
      <w:r w:rsidRPr="005542F8">
        <w:rPr>
          <w:rFonts w:ascii="Times New Roman" w:eastAsia="Times New Roman" w:hAnsi="Times New Roman" w:cs="Times New Roman"/>
          <w:sz w:val="24"/>
          <w:szCs w:val="24"/>
        </w:rPr>
        <w:t xml:space="preserve">ny Claim Line in a CMS-1500 claim form that is allowed as an INN Claim Line. INN Claim Lines do not include </w:t>
      </w:r>
      <w:r>
        <w:rPr>
          <w:rFonts w:ascii="Times New Roman" w:eastAsia="Times New Roman" w:hAnsi="Times New Roman" w:cs="Times New Roman"/>
          <w:sz w:val="24"/>
          <w:szCs w:val="24"/>
        </w:rPr>
        <w:t>claims</w:t>
      </w:r>
      <w:r w:rsidRPr="005542F8">
        <w:rPr>
          <w:rFonts w:ascii="Times New Roman" w:eastAsia="Times New Roman" w:hAnsi="Times New Roman" w:cs="Times New Roman"/>
          <w:sz w:val="24"/>
          <w:szCs w:val="24"/>
        </w:rPr>
        <w:t xml:space="preserve"> that were allowed as OON.</w:t>
      </w:r>
    </w:p>
    <w:p w14:paraId="19494309" w14:textId="27FE0175" w:rsidR="008F74A2" w:rsidRDefault="008F74A2"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F74A2">
        <w:rPr>
          <w:rFonts w:ascii="Times New Roman" w:eastAsia="Times New Roman" w:hAnsi="Times New Roman" w:cs="Times New Roman"/>
          <w:sz w:val="24"/>
          <w:szCs w:val="24"/>
        </w:rPr>
        <w:t xml:space="preserve">In-Network Claim, Claim Line, Concurrent Review, Prior Authorization </w:t>
      </w:r>
      <w:r>
        <w:rPr>
          <w:rFonts w:ascii="Times New Roman" w:eastAsia="Times New Roman" w:hAnsi="Times New Roman" w:cs="Times New Roman"/>
          <w:sz w:val="24"/>
          <w:szCs w:val="24"/>
        </w:rPr>
        <w:t>Review, or Retrospective Review” means a</w:t>
      </w:r>
      <w:r w:rsidRPr="008F74A2">
        <w:rPr>
          <w:rFonts w:ascii="Times New Roman" w:eastAsia="Times New Roman" w:hAnsi="Times New Roman" w:cs="Times New Roman"/>
          <w:sz w:val="24"/>
          <w:szCs w:val="24"/>
        </w:rPr>
        <w:t>ny Claim, Claim Line, Concurrent Review, Prior Authorization Review, or Retrospective Review that relates to an INN Provider.</w:t>
      </w:r>
    </w:p>
    <w:p w14:paraId="05C9B150" w14:textId="59BA9045" w:rsidR="008F74A2" w:rsidRDefault="008F74A2"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“In-Network Provider” means a</w:t>
      </w:r>
      <w:r w:rsidRPr="008F74A2">
        <w:rPr>
          <w:rFonts w:ascii="Times New Roman" w:eastAsia="Times New Roman" w:hAnsi="Times New Roman" w:cs="Times New Roman"/>
          <w:sz w:val="24"/>
          <w:szCs w:val="24"/>
        </w:rPr>
        <w:t xml:space="preserve"> provider (that offered In-Person, Telehealth, or both types of services) listed in any directory of providers that was made available to </w:t>
      </w:r>
      <w:r>
        <w:rPr>
          <w:rFonts w:ascii="Times New Roman" w:eastAsia="Times New Roman" w:hAnsi="Times New Roman" w:cs="Times New Roman"/>
          <w:sz w:val="24"/>
          <w:szCs w:val="24"/>
        </w:rPr>
        <w:t xml:space="preserve">any Members of a specified </w:t>
      </w:r>
      <w:r w:rsidRPr="008F74A2">
        <w:rPr>
          <w:rFonts w:ascii="Times New Roman" w:eastAsia="Times New Roman" w:hAnsi="Times New Roman" w:cs="Times New Roman"/>
          <w:sz w:val="24"/>
          <w:szCs w:val="24"/>
        </w:rPr>
        <w:t>product</w:t>
      </w:r>
      <w:r>
        <w:rPr>
          <w:rFonts w:ascii="Times New Roman" w:eastAsia="Times New Roman" w:hAnsi="Times New Roman" w:cs="Times New Roman"/>
          <w:sz w:val="24"/>
          <w:szCs w:val="24"/>
        </w:rPr>
        <w:t xml:space="preserve"> (or plan, as applicable)</w:t>
      </w:r>
      <w:r w:rsidRPr="008F74A2">
        <w:rPr>
          <w:rFonts w:ascii="Times New Roman" w:eastAsia="Times New Roman" w:hAnsi="Times New Roman" w:cs="Times New Roman"/>
          <w:sz w:val="24"/>
          <w:szCs w:val="24"/>
        </w:rPr>
        <w:t xml:space="preserve"> at the time that a Concurrent Review, Prior Authorization Review, or  Retrospective Review was conducted, or a claim was submitted.</w:t>
      </w:r>
    </w:p>
    <w:p w14:paraId="5D766724" w14:textId="05F22202" w:rsidR="00123F9E" w:rsidRDefault="008F74A2"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“In-N</w:t>
      </w:r>
      <w:r w:rsidR="007E13FC">
        <w:rPr>
          <w:rFonts w:ascii="Times New Roman" w:eastAsia="Times New Roman" w:hAnsi="Times New Roman" w:cs="Times New Roman"/>
          <w:sz w:val="24"/>
          <w:szCs w:val="24"/>
        </w:rPr>
        <w:t>etwork R</w:t>
      </w:r>
      <w:r w:rsidR="00123F9E" w:rsidRPr="00801CF6">
        <w:rPr>
          <w:rFonts w:ascii="Times New Roman" w:eastAsia="Times New Roman" w:hAnsi="Times New Roman" w:cs="Times New Roman"/>
          <w:sz w:val="24"/>
          <w:szCs w:val="24"/>
        </w:rPr>
        <w:t>eimbursement” means compensation or the amount allowed to an in-network provider or facility,</w:t>
      </w:r>
      <w:r w:rsidR="007678D1" w:rsidRPr="00801CF6">
        <w:rPr>
          <w:rFonts w:ascii="Times New Roman" w:eastAsia="Times New Roman" w:hAnsi="Times New Roman" w:cs="Times New Roman"/>
          <w:sz w:val="24"/>
          <w:szCs w:val="24"/>
        </w:rPr>
        <w:t xml:space="preserve"> </w:t>
      </w:r>
      <w:r w:rsidR="00AF0738">
        <w:rPr>
          <w:rFonts w:ascii="Times New Roman" w:eastAsia="Times New Roman" w:hAnsi="Times New Roman" w:cs="Times New Roman"/>
          <w:sz w:val="24"/>
          <w:szCs w:val="24"/>
        </w:rPr>
        <w:t xml:space="preserve">or </w:t>
      </w:r>
      <w:r w:rsidR="007678D1" w:rsidRPr="00801CF6">
        <w:rPr>
          <w:rFonts w:ascii="Times New Roman" w:eastAsia="Times New Roman" w:hAnsi="Times New Roman" w:cs="Times New Roman"/>
          <w:sz w:val="24"/>
          <w:szCs w:val="24"/>
        </w:rPr>
        <w:t>practitioner</w:t>
      </w:r>
      <w:r w:rsidR="00123F9E" w:rsidRPr="00801CF6">
        <w:rPr>
          <w:rFonts w:ascii="Times New Roman" w:eastAsia="Times New Roman" w:hAnsi="Times New Roman" w:cs="Times New Roman"/>
          <w:sz w:val="24"/>
          <w:szCs w:val="24"/>
        </w:rPr>
        <w:t>, or the combined amount of the carrier’s payment and member’s cost-sharing responsibility, for providing services, medications, or supplies to members of the benefit plan. Reimbursement includes, but is not limited to, fee</w:t>
      </w:r>
      <w:r w:rsidR="001C5619">
        <w:rPr>
          <w:rFonts w:ascii="Times New Roman" w:eastAsia="Times New Roman" w:hAnsi="Times New Roman" w:cs="Times New Roman"/>
          <w:sz w:val="24"/>
          <w:szCs w:val="24"/>
        </w:rPr>
        <w:t>-</w:t>
      </w:r>
      <w:r w:rsidR="00123F9E" w:rsidRPr="00801CF6">
        <w:rPr>
          <w:rFonts w:ascii="Times New Roman" w:eastAsia="Times New Roman" w:hAnsi="Times New Roman" w:cs="Times New Roman"/>
          <w:sz w:val="24"/>
          <w:szCs w:val="24"/>
        </w:rPr>
        <w:t>for</w:t>
      </w:r>
      <w:r w:rsidR="001C5619">
        <w:rPr>
          <w:rFonts w:ascii="Times New Roman" w:eastAsia="Times New Roman" w:hAnsi="Times New Roman" w:cs="Times New Roman"/>
          <w:sz w:val="24"/>
          <w:szCs w:val="24"/>
        </w:rPr>
        <w:t>-</w:t>
      </w:r>
      <w:r w:rsidR="00123F9E" w:rsidRPr="00801CF6">
        <w:rPr>
          <w:rFonts w:ascii="Times New Roman" w:eastAsia="Times New Roman" w:hAnsi="Times New Roman" w:cs="Times New Roman"/>
          <w:sz w:val="24"/>
          <w:szCs w:val="24"/>
        </w:rPr>
        <w:t>service payments, capitation payments, bundled or global payments, and bonuses or other incentive payments.</w:t>
      </w:r>
    </w:p>
    <w:p w14:paraId="744E2D05" w14:textId="0F9BE321" w:rsidR="005542F8" w:rsidRPr="00801CF6" w:rsidRDefault="005542F8" w:rsidP="00F06365">
      <w:pPr>
        <w:ind w:left="0" w:firstLine="0"/>
        <w:rPr>
          <w:rFonts w:ascii="Times New Roman" w:eastAsia="Times New Roman" w:hAnsi="Times New Roman" w:cs="Times New Roman"/>
          <w:sz w:val="24"/>
          <w:szCs w:val="24"/>
        </w:rPr>
      </w:pPr>
      <w:r w:rsidRPr="008252BA">
        <w:rPr>
          <w:rFonts w:ascii="Times New Roman" w:eastAsia="Times New Roman" w:hAnsi="Times New Roman" w:cs="Times New Roman"/>
          <w:sz w:val="24"/>
          <w:szCs w:val="24"/>
        </w:rPr>
        <w:t>“In-Person Claim Line” means</w:t>
      </w:r>
      <w:r w:rsidR="006B27D0" w:rsidRPr="008252BA">
        <w:rPr>
          <w:rFonts w:ascii="Times New Roman" w:eastAsia="Times New Roman" w:hAnsi="Times New Roman" w:cs="Times New Roman"/>
          <w:sz w:val="24"/>
          <w:szCs w:val="24"/>
        </w:rPr>
        <w:t>,</w:t>
      </w:r>
      <w:r w:rsidR="00926F69" w:rsidRPr="008252BA">
        <w:rPr>
          <w:rFonts w:ascii="Times New Roman" w:eastAsia="Times New Roman" w:hAnsi="Times New Roman" w:cs="Times New Roman"/>
          <w:sz w:val="24"/>
          <w:szCs w:val="24"/>
        </w:rPr>
        <w:t xml:space="preserve"> for purposes of Data Supplement 1</w:t>
      </w:r>
      <w:r w:rsidR="006B27D0" w:rsidRPr="008252BA">
        <w:rPr>
          <w:rFonts w:ascii="Times New Roman" w:eastAsia="Times New Roman" w:hAnsi="Times New Roman" w:cs="Times New Roman"/>
          <w:sz w:val="24"/>
          <w:szCs w:val="24"/>
        </w:rPr>
        <w:t>,</w:t>
      </w:r>
      <w:r w:rsidRPr="008252BA">
        <w:rPr>
          <w:rFonts w:ascii="Times New Roman" w:eastAsia="Times New Roman" w:hAnsi="Times New Roman" w:cs="Times New Roman"/>
          <w:sz w:val="24"/>
          <w:szCs w:val="24"/>
        </w:rPr>
        <w:t xml:space="preserve"> any Claim Line for Office Visit Professional Services that</w:t>
      </w:r>
      <w:r w:rsidR="009B63E9" w:rsidRPr="008252BA">
        <w:rPr>
          <w:rFonts w:ascii="Times New Roman" w:eastAsia="Times New Roman" w:hAnsi="Times New Roman" w:cs="Times New Roman"/>
          <w:sz w:val="24"/>
          <w:szCs w:val="24"/>
        </w:rPr>
        <w:t xml:space="preserve"> is not a Telehealth Claim Line, or</w:t>
      </w:r>
      <w:r w:rsidR="006B27D0" w:rsidRPr="008252BA">
        <w:rPr>
          <w:rFonts w:ascii="Times New Roman" w:eastAsia="Times New Roman" w:hAnsi="Times New Roman" w:cs="Times New Roman"/>
          <w:sz w:val="24"/>
          <w:szCs w:val="24"/>
        </w:rPr>
        <w:t>,</w:t>
      </w:r>
      <w:r w:rsidR="009B63E9" w:rsidRPr="008252BA">
        <w:rPr>
          <w:rFonts w:ascii="Times New Roman" w:eastAsia="Times New Roman" w:hAnsi="Times New Roman" w:cs="Times New Roman"/>
          <w:sz w:val="24"/>
          <w:szCs w:val="24"/>
        </w:rPr>
        <w:t xml:space="preserve"> </w:t>
      </w:r>
      <w:r w:rsidR="006B27D0" w:rsidRPr="008252BA">
        <w:rPr>
          <w:rFonts w:ascii="Times New Roman" w:eastAsia="Times New Roman" w:hAnsi="Times New Roman" w:cs="Times New Roman"/>
          <w:sz w:val="24"/>
          <w:szCs w:val="24"/>
        </w:rPr>
        <w:t>for purposes of Data Supplement 5(A), a</w:t>
      </w:r>
      <w:r w:rsidR="009B63E9" w:rsidRPr="008252BA">
        <w:rPr>
          <w:rFonts w:ascii="Times New Roman" w:eastAsia="Times New Roman" w:hAnsi="Times New Roman" w:cs="Times New Roman"/>
          <w:sz w:val="24"/>
          <w:szCs w:val="24"/>
        </w:rPr>
        <w:t>ny Claim Line for Facility-Based Professional Services or Office Visit Professional Services that is not a Telehealth Claim Line.</w:t>
      </w:r>
      <w:r w:rsidR="009B63E9">
        <w:rPr>
          <w:rFonts w:ascii="Times New Roman" w:eastAsia="Times New Roman" w:hAnsi="Times New Roman" w:cs="Times New Roman"/>
          <w:sz w:val="24"/>
          <w:szCs w:val="24"/>
        </w:rPr>
        <w:t xml:space="preserve"> </w:t>
      </w:r>
    </w:p>
    <w:p w14:paraId="5735AB62" w14:textId="0CCE9D55" w:rsidR="00DB10C0" w:rsidRDefault="00203C8B" w:rsidP="00F06365">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 “Measures” means the steps, plan, methods, or course of action taken by a carrier to assess compliance in the development and implementation of an NQTL when the carrier has delegated management of covered benefits to another entity.  Measures include written policies, procedures, and guidelines, as well as operational controls, checks, audits, and safeguards.</w:t>
      </w:r>
      <w:r w:rsidR="00757D14">
        <w:rPr>
          <w:rFonts w:ascii="Times New Roman" w:eastAsia="Times New Roman" w:hAnsi="Times New Roman" w:cs="Times New Roman"/>
          <w:sz w:val="24"/>
          <w:szCs w:val="24"/>
        </w:rPr>
        <w:t xml:space="preserve"> </w:t>
      </w:r>
    </w:p>
    <w:p w14:paraId="06DBED0D" w14:textId="5CCAEB34" w:rsidR="006558EA" w:rsidRDefault="007E13F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N</w:t>
      </w:r>
      <w:r w:rsidR="006558EA" w:rsidRPr="00801CF6">
        <w:rPr>
          <w:rFonts w:ascii="Times New Roman" w:eastAsia="Times New Roman" w:hAnsi="Times New Roman" w:cs="Times New Roman"/>
          <w:sz w:val="24"/>
          <w:szCs w:val="24"/>
        </w:rPr>
        <w:t>ecessity” means medical necessity as determined by definition</w:t>
      </w:r>
      <w:r w:rsidR="00BF411A">
        <w:rPr>
          <w:rFonts w:ascii="Times New Roman" w:eastAsia="Times New Roman" w:hAnsi="Times New Roman" w:cs="Times New Roman"/>
          <w:sz w:val="24"/>
          <w:szCs w:val="24"/>
        </w:rPr>
        <w:t>s</w:t>
      </w:r>
      <w:r w:rsidR="006558EA" w:rsidRPr="00801CF6">
        <w:rPr>
          <w:rFonts w:ascii="Times New Roman" w:eastAsia="Times New Roman" w:hAnsi="Times New Roman" w:cs="Times New Roman"/>
          <w:sz w:val="24"/>
          <w:szCs w:val="24"/>
        </w:rPr>
        <w:t>, criteria, or guidelines used by the carrier or its private review agent to determine what is necessary, efficient, or appropriate for purposes of coverage of a service or benefit.</w:t>
      </w:r>
    </w:p>
    <w:p w14:paraId="5376C2DD" w14:textId="5F68CE79" w:rsidR="00514BB1" w:rsidRDefault="007E13F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“Medical Necessity C</w:t>
      </w:r>
      <w:r w:rsidR="00514BB1">
        <w:rPr>
          <w:rFonts w:ascii="Times New Roman" w:eastAsia="Times New Roman" w:hAnsi="Times New Roman" w:cs="Times New Roman"/>
          <w:sz w:val="24"/>
          <w:szCs w:val="24"/>
        </w:rPr>
        <w:t xml:space="preserve">riteria” means </w:t>
      </w:r>
      <w:r w:rsidR="00BF411A">
        <w:rPr>
          <w:rFonts w:ascii="Times New Roman" w:eastAsia="Times New Roman" w:hAnsi="Times New Roman" w:cs="Times New Roman"/>
          <w:sz w:val="24"/>
          <w:szCs w:val="24"/>
        </w:rPr>
        <w:t xml:space="preserve">the definitions, criteria, or </w:t>
      </w:r>
      <w:r w:rsidR="00514BB1">
        <w:rPr>
          <w:rFonts w:ascii="Times New Roman" w:eastAsia="Times New Roman" w:hAnsi="Times New Roman" w:cs="Times New Roman"/>
          <w:sz w:val="24"/>
          <w:szCs w:val="24"/>
        </w:rPr>
        <w:t xml:space="preserve">guidelines used to determine if a treatment is medically </w:t>
      </w:r>
      <w:r w:rsidR="00BF411A">
        <w:rPr>
          <w:rFonts w:ascii="Times New Roman" w:eastAsia="Times New Roman" w:hAnsi="Times New Roman" w:cs="Times New Roman"/>
          <w:sz w:val="24"/>
          <w:szCs w:val="24"/>
        </w:rPr>
        <w:t>necessary</w:t>
      </w:r>
      <w:r w:rsidR="00514BB1">
        <w:rPr>
          <w:rFonts w:ascii="Times New Roman" w:eastAsia="Times New Roman" w:hAnsi="Times New Roman" w:cs="Times New Roman"/>
          <w:sz w:val="24"/>
          <w:szCs w:val="24"/>
        </w:rPr>
        <w:t>, efficient, or appropriate for the treatment of a medical</w:t>
      </w:r>
      <w:r w:rsidR="00F01DCC">
        <w:rPr>
          <w:rFonts w:ascii="Times New Roman" w:eastAsia="Times New Roman" w:hAnsi="Times New Roman" w:cs="Times New Roman"/>
          <w:sz w:val="24"/>
          <w:szCs w:val="24"/>
        </w:rPr>
        <w:t>/surgical</w:t>
      </w:r>
      <w:r w:rsidR="00514BB1">
        <w:rPr>
          <w:rFonts w:ascii="Times New Roman" w:eastAsia="Times New Roman" w:hAnsi="Times New Roman" w:cs="Times New Roman"/>
          <w:sz w:val="24"/>
          <w:szCs w:val="24"/>
        </w:rPr>
        <w:t xml:space="preserve">, mental health, or substance use disorder or condition. </w:t>
      </w:r>
    </w:p>
    <w:p w14:paraId="4204E80F" w14:textId="225D8B29" w:rsidR="005063F2" w:rsidRDefault="005063F2"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“Medical/</w:t>
      </w:r>
      <w:r w:rsidR="007E13FC">
        <w:rPr>
          <w:rFonts w:ascii="Times New Roman" w:eastAsia="Times New Roman" w:hAnsi="Times New Roman" w:cs="Times New Roman"/>
          <w:sz w:val="24"/>
          <w:szCs w:val="24"/>
        </w:rPr>
        <w:t>S</w:t>
      </w:r>
      <w:r w:rsidRPr="005063F2">
        <w:rPr>
          <w:rFonts w:ascii="Times New Roman" w:eastAsia="Times New Roman" w:hAnsi="Times New Roman" w:cs="Times New Roman"/>
          <w:sz w:val="24"/>
          <w:szCs w:val="24"/>
        </w:rPr>
        <w:t xml:space="preserve">urgical </w:t>
      </w:r>
      <w:r w:rsidR="007E13FC">
        <w:rPr>
          <w:rFonts w:ascii="Times New Roman" w:eastAsia="Times New Roman" w:hAnsi="Times New Roman" w:cs="Times New Roman"/>
          <w:sz w:val="24"/>
          <w:szCs w:val="24"/>
        </w:rPr>
        <w:t>C</w:t>
      </w:r>
      <w:r w:rsidRPr="005063F2">
        <w:rPr>
          <w:rFonts w:ascii="Times New Roman" w:eastAsia="Times New Roman" w:hAnsi="Times New Roman" w:cs="Times New Roman"/>
          <w:sz w:val="24"/>
          <w:szCs w:val="24"/>
        </w:rPr>
        <w:t>laims</w:t>
      </w:r>
      <w:r>
        <w:rPr>
          <w:rFonts w:ascii="Times New Roman" w:eastAsia="Times New Roman" w:hAnsi="Times New Roman" w:cs="Times New Roman"/>
          <w:sz w:val="24"/>
          <w:szCs w:val="24"/>
        </w:rPr>
        <w:t>” or “MS claims” means c</w:t>
      </w:r>
      <w:r w:rsidRPr="005063F2">
        <w:rPr>
          <w:rFonts w:ascii="Times New Roman" w:eastAsia="Times New Roman" w:hAnsi="Times New Roman" w:cs="Times New Roman"/>
          <w:sz w:val="24"/>
          <w:szCs w:val="24"/>
        </w:rPr>
        <w:t>laims with a primary physical health diagnosis.</w:t>
      </w:r>
    </w:p>
    <w:p w14:paraId="4DA2F5F3" w14:textId="63E7EF53" w:rsidR="005542F8" w:rsidRDefault="005542F8"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542F8">
        <w:rPr>
          <w:rFonts w:ascii="Times New Roman" w:eastAsia="Times New Roman" w:hAnsi="Times New Roman" w:cs="Times New Roman"/>
          <w:sz w:val="24"/>
          <w:szCs w:val="24"/>
        </w:rPr>
        <w:t>Member</w:t>
      </w:r>
      <w:r>
        <w:rPr>
          <w:rFonts w:ascii="Times New Roman" w:eastAsia="Times New Roman" w:hAnsi="Times New Roman" w:cs="Times New Roman"/>
          <w:sz w:val="24"/>
          <w:szCs w:val="24"/>
        </w:rPr>
        <w:t>” means a</w:t>
      </w:r>
      <w:r w:rsidRPr="005542F8">
        <w:rPr>
          <w:rFonts w:ascii="Times New Roman" w:eastAsia="Times New Roman" w:hAnsi="Times New Roman" w:cs="Times New Roman"/>
          <w:sz w:val="24"/>
          <w:szCs w:val="24"/>
        </w:rPr>
        <w:t xml:space="preserve">ny person who was a member of the </w:t>
      </w:r>
      <w:r w:rsidR="009B63E9">
        <w:rPr>
          <w:rFonts w:ascii="Times New Roman" w:eastAsia="Times New Roman" w:hAnsi="Times New Roman" w:cs="Times New Roman"/>
          <w:sz w:val="24"/>
          <w:szCs w:val="24"/>
        </w:rPr>
        <w:t>plan dur</w:t>
      </w:r>
      <w:r w:rsidRPr="005542F8">
        <w:rPr>
          <w:rFonts w:ascii="Times New Roman" w:eastAsia="Times New Roman" w:hAnsi="Times New Roman" w:cs="Times New Roman"/>
          <w:sz w:val="24"/>
          <w:szCs w:val="24"/>
        </w:rPr>
        <w:t>ing Calendar Year 2025.</w:t>
      </w:r>
    </w:p>
    <w:p w14:paraId="672A583C" w14:textId="4F8AD982" w:rsidR="005063F2" w:rsidRDefault="005063F2"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063F2">
        <w:rPr>
          <w:rFonts w:ascii="Times New Roman" w:eastAsia="Times New Roman" w:hAnsi="Times New Roman" w:cs="Times New Roman"/>
          <w:sz w:val="24"/>
          <w:szCs w:val="24"/>
        </w:rPr>
        <w:t>Mental</w:t>
      </w:r>
      <w:r>
        <w:rPr>
          <w:rFonts w:ascii="Times New Roman" w:eastAsia="Times New Roman" w:hAnsi="Times New Roman" w:cs="Times New Roman"/>
          <w:sz w:val="24"/>
          <w:szCs w:val="24"/>
        </w:rPr>
        <w:t xml:space="preserve"> </w:t>
      </w:r>
      <w:r w:rsidR="007E13FC">
        <w:rPr>
          <w:rFonts w:ascii="Times New Roman" w:eastAsia="Times New Roman" w:hAnsi="Times New Roman" w:cs="Times New Roman"/>
          <w:sz w:val="24"/>
          <w:szCs w:val="24"/>
        </w:rPr>
        <w:t>H</w:t>
      </w:r>
      <w:r w:rsidRPr="005063F2">
        <w:rPr>
          <w:rFonts w:ascii="Times New Roman" w:eastAsia="Times New Roman" w:hAnsi="Times New Roman" w:cs="Times New Roman"/>
          <w:sz w:val="24"/>
          <w:szCs w:val="24"/>
        </w:rPr>
        <w:t>ealth</w:t>
      </w:r>
      <w:r w:rsidR="00F01D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96CA6">
        <w:rPr>
          <w:rFonts w:ascii="Times New Roman" w:eastAsia="Times New Roman" w:hAnsi="Times New Roman" w:cs="Times New Roman"/>
          <w:sz w:val="24"/>
          <w:szCs w:val="24"/>
        </w:rPr>
        <w:t xml:space="preserve">or </w:t>
      </w:r>
      <w:r w:rsidR="00F01DCC">
        <w:rPr>
          <w:rFonts w:ascii="Times New Roman" w:eastAsia="Times New Roman" w:hAnsi="Times New Roman" w:cs="Times New Roman"/>
          <w:sz w:val="24"/>
          <w:szCs w:val="24"/>
        </w:rPr>
        <w:t>“</w:t>
      </w:r>
      <w:r>
        <w:rPr>
          <w:rFonts w:ascii="Times New Roman" w:eastAsia="Times New Roman" w:hAnsi="Times New Roman" w:cs="Times New Roman"/>
          <w:sz w:val="24"/>
          <w:szCs w:val="24"/>
        </w:rPr>
        <w:t>MH c</w:t>
      </w:r>
      <w:r w:rsidRPr="005063F2">
        <w:rPr>
          <w:rFonts w:ascii="Times New Roman" w:eastAsia="Times New Roman" w:hAnsi="Times New Roman" w:cs="Times New Roman"/>
          <w:sz w:val="24"/>
          <w:szCs w:val="24"/>
        </w:rPr>
        <w:t>laims</w:t>
      </w:r>
      <w:r>
        <w:rPr>
          <w:rFonts w:ascii="Times New Roman" w:eastAsia="Times New Roman" w:hAnsi="Times New Roman" w:cs="Times New Roman"/>
          <w:sz w:val="24"/>
          <w:szCs w:val="24"/>
        </w:rPr>
        <w:t>” means c</w:t>
      </w:r>
      <w:r w:rsidRPr="005063F2">
        <w:rPr>
          <w:rFonts w:ascii="Times New Roman" w:eastAsia="Times New Roman" w:hAnsi="Times New Roman" w:cs="Times New Roman"/>
          <w:sz w:val="24"/>
          <w:szCs w:val="24"/>
        </w:rPr>
        <w:t>laims with a primary mental health diagnosis.</w:t>
      </w:r>
    </w:p>
    <w:p w14:paraId="75ED97D8" w14:textId="7AC2CA3F" w:rsidR="00396CA6" w:rsidRDefault="00396CA6" w:rsidP="00F06365">
      <w:pPr>
        <w:ind w:left="0" w:firstLine="0"/>
        <w:rPr>
          <w:rFonts w:ascii="Times New Roman" w:eastAsia="Times New Roman" w:hAnsi="Times New Roman" w:cs="Times New Roman"/>
          <w:sz w:val="24"/>
          <w:szCs w:val="24"/>
        </w:rPr>
      </w:pPr>
      <w:r w:rsidRPr="00396CA6">
        <w:rPr>
          <w:rFonts w:ascii="Times New Roman" w:eastAsia="Times New Roman" w:hAnsi="Times New Roman" w:cs="Times New Roman"/>
          <w:sz w:val="24"/>
          <w:szCs w:val="24"/>
        </w:rPr>
        <w:t>"MH/SUD Crisis Stabilization Facility/Behavioral Health Crisis Stabilization Center (BHCSC)" means</w:t>
      </w:r>
      <w:r>
        <w:rPr>
          <w:rFonts w:ascii="Times New Roman" w:eastAsia="Times New Roman" w:hAnsi="Times New Roman" w:cs="Times New Roman"/>
          <w:sz w:val="24"/>
          <w:szCs w:val="24"/>
        </w:rPr>
        <w:t xml:space="preserve"> a non-hospital, 24/7 facility</w:t>
      </w:r>
      <w:r w:rsidRPr="00396CA6">
        <w:rPr>
          <w:rFonts w:ascii="Times New Roman" w:eastAsia="Times New Roman" w:hAnsi="Times New Roman" w:cs="Times New Roman"/>
          <w:sz w:val="24"/>
          <w:szCs w:val="24"/>
        </w:rPr>
        <w:t xml:space="preserve"> that provide</w:t>
      </w:r>
      <w:r>
        <w:rPr>
          <w:rFonts w:ascii="Times New Roman" w:eastAsia="Times New Roman" w:hAnsi="Times New Roman" w:cs="Times New Roman"/>
          <w:sz w:val="24"/>
          <w:szCs w:val="24"/>
        </w:rPr>
        <w:t>s</w:t>
      </w:r>
      <w:r w:rsidRPr="00396CA6">
        <w:rPr>
          <w:rFonts w:ascii="Times New Roman" w:eastAsia="Times New Roman" w:hAnsi="Times New Roman" w:cs="Times New Roman"/>
          <w:sz w:val="24"/>
          <w:szCs w:val="24"/>
        </w:rPr>
        <w:t xml:space="preserve"> short-term crisis intervention, assessment, and stabilization for individuals experiencing severe distress, usually for a period of up to 23 hours and 59 minutes. (See COMAR 10.63.03.21)</w:t>
      </w:r>
    </w:p>
    <w:p w14:paraId="77745106" w14:textId="3048EB56" w:rsidR="00396CA6" w:rsidRDefault="00396CA6" w:rsidP="00F06365">
      <w:pPr>
        <w:ind w:left="0" w:firstLine="0"/>
        <w:rPr>
          <w:rFonts w:ascii="Times New Roman" w:eastAsia="Times New Roman" w:hAnsi="Times New Roman" w:cs="Times New Roman"/>
          <w:sz w:val="24"/>
          <w:szCs w:val="24"/>
        </w:rPr>
      </w:pPr>
      <w:r w:rsidRPr="00396CA6">
        <w:rPr>
          <w:rFonts w:ascii="Times New Roman" w:eastAsia="Times New Roman" w:hAnsi="Times New Roman" w:cs="Times New Roman"/>
          <w:sz w:val="24"/>
          <w:szCs w:val="24"/>
        </w:rPr>
        <w:t>"MH/SUD Mobile Crisis Team" shall include two staff members responding in-person; a licensed mental health professional face-to-face or via telehealth; and may not include law enforcement, if present, as part of the two-person team. (See COMAR 10.63.03.20.F)</w:t>
      </w:r>
    </w:p>
    <w:p w14:paraId="55AC3BF7" w14:textId="0E5BCAAF" w:rsidR="005542F8" w:rsidRPr="00801CF6" w:rsidRDefault="005542F8"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“MPFS” means</w:t>
      </w:r>
      <w:r w:rsidRPr="005542F8">
        <w:rPr>
          <w:rFonts w:ascii="Times New Roman" w:eastAsia="Times New Roman" w:hAnsi="Times New Roman" w:cs="Times New Roman"/>
          <w:sz w:val="24"/>
          <w:szCs w:val="24"/>
        </w:rPr>
        <w:t xml:space="preserve"> Medicare Physician Fee Schedule.</w:t>
      </w:r>
    </w:p>
    <w:p w14:paraId="26684255" w14:textId="13863F8C" w:rsidR="009B27C8" w:rsidRDefault="00D833BB"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“Network </w:t>
      </w:r>
      <w:r w:rsidR="007E13FC">
        <w:rPr>
          <w:rFonts w:ascii="Times New Roman" w:eastAsia="Times New Roman" w:hAnsi="Times New Roman" w:cs="Times New Roman"/>
          <w:sz w:val="24"/>
          <w:szCs w:val="24"/>
        </w:rPr>
        <w:t>Gap E</w:t>
      </w:r>
      <w:r w:rsidR="009B27C8" w:rsidRPr="00801CF6">
        <w:rPr>
          <w:rFonts w:ascii="Times New Roman" w:eastAsia="Times New Roman" w:hAnsi="Times New Roman" w:cs="Times New Roman"/>
          <w:sz w:val="24"/>
          <w:szCs w:val="24"/>
        </w:rPr>
        <w:t>xcept</w:t>
      </w:r>
      <w:r>
        <w:rPr>
          <w:rFonts w:ascii="Times New Roman" w:eastAsia="Times New Roman" w:hAnsi="Times New Roman" w:cs="Times New Roman"/>
          <w:sz w:val="24"/>
          <w:szCs w:val="24"/>
        </w:rPr>
        <w:t xml:space="preserve">ion” means written policies and </w:t>
      </w:r>
      <w:r w:rsidR="009B27C8" w:rsidRPr="00801CF6">
        <w:rPr>
          <w:rFonts w:ascii="Times New Roman" w:eastAsia="Times New Roman" w:hAnsi="Times New Roman" w:cs="Times New Roman"/>
          <w:sz w:val="24"/>
          <w:szCs w:val="24"/>
        </w:rPr>
        <w:t>procedures</w:t>
      </w:r>
      <w:r w:rsidR="000B5104" w:rsidRPr="00801CF6">
        <w:rPr>
          <w:rFonts w:ascii="Times New Roman" w:eastAsia="Times New Roman" w:hAnsi="Times New Roman" w:cs="Times New Roman"/>
          <w:sz w:val="24"/>
          <w:szCs w:val="24"/>
        </w:rPr>
        <w:t xml:space="preserve"> </w:t>
      </w:r>
      <w:r w:rsidR="000B5104" w:rsidRPr="009638A8">
        <w:rPr>
          <w:rFonts w:ascii="Times New Roman" w:eastAsia="Times New Roman" w:hAnsi="Times New Roman" w:cs="Times New Roman"/>
          <w:sz w:val="24"/>
          <w:szCs w:val="24"/>
          <w:highlight w:val="yellow"/>
        </w:rPr>
        <w:t xml:space="preserve"> </w:t>
      </w:r>
      <w:r w:rsidR="000B5104" w:rsidRPr="009638A8">
        <w:rPr>
          <w:rFonts w:ascii="Times New Roman" w:hAnsi="Times New Roman" w:cs="Times New Roman"/>
          <w:color w:val="000000"/>
          <w:sz w:val="24"/>
          <w:szCs w:val="24"/>
          <w:highlight w:val="yellow"/>
        </w:rPr>
        <w:br/>
      </w:r>
      <w:r w:rsidR="009B27C8" w:rsidRPr="00801CF6">
        <w:rPr>
          <w:rFonts w:ascii="Times New Roman" w:eastAsia="Times New Roman" w:hAnsi="Times New Roman" w:cs="Times New Roman"/>
          <w:sz w:val="24"/>
          <w:szCs w:val="24"/>
        </w:rPr>
        <w:t xml:space="preserve">established by a carrier to implement a process for addressing network deficiencies that result in an enrollee lacking access to </w:t>
      </w:r>
      <w:r w:rsidR="006C372A" w:rsidRPr="00801CF6">
        <w:rPr>
          <w:rFonts w:ascii="Times New Roman" w:eastAsia="Times New Roman" w:hAnsi="Times New Roman" w:cs="Times New Roman"/>
          <w:sz w:val="24"/>
          <w:szCs w:val="24"/>
        </w:rPr>
        <w:t xml:space="preserve">any </w:t>
      </w:r>
      <w:r w:rsidR="009B27C8" w:rsidRPr="00801CF6">
        <w:rPr>
          <w:rFonts w:ascii="Times New Roman" w:eastAsia="Times New Roman" w:hAnsi="Times New Roman" w:cs="Times New Roman"/>
          <w:sz w:val="24"/>
          <w:szCs w:val="24"/>
        </w:rPr>
        <w:t>providers with the professional training and expertise necessary to deliver a covered service without unreasonable travel or delay</w:t>
      </w:r>
      <w:r w:rsidR="006C372A" w:rsidRPr="00801CF6">
        <w:rPr>
          <w:rFonts w:ascii="Times New Roman" w:eastAsia="Times New Roman" w:hAnsi="Times New Roman" w:cs="Times New Roman"/>
          <w:sz w:val="24"/>
          <w:szCs w:val="24"/>
        </w:rPr>
        <w:t xml:space="preserve">, </w:t>
      </w:r>
      <w:r w:rsidR="00757471" w:rsidRPr="00801CF6">
        <w:rPr>
          <w:rFonts w:ascii="Times New Roman" w:eastAsia="Times New Roman" w:hAnsi="Times New Roman" w:cs="Times New Roman"/>
          <w:sz w:val="24"/>
          <w:szCs w:val="24"/>
        </w:rPr>
        <w:t xml:space="preserve">including, </w:t>
      </w:r>
      <w:r w:rsidR="006C372A" w:rsidRPr="00801CF6">
        <w:rPr>
          <w:rFonts w:ascii="Times New Roman" w:eastAsia="Times New Roman" w:hAnsi="Times New Roman" w:cs="Times New Roman"/>
          <w:sz w:val="24"/>
          <w:szCs w:val="24"/>
        </w:rPr>
        <w:t xml:space="preserve">when applicable, </w:t>
      </w:r>
      <w:r w:rsidR="00757471" w:rsidRPr="00801CF6">
        <w:rPr>
          <w:rFonts w:ascii="Times New Roman" w:eastAsia="Times New Roman" w:hAnsi="Times New Roman" w:cs="Times New Roman"/>
          <w:sz w:val="24"/>
          <w:szCs w:val="24"/>
        </w:rPr>
        <w:t xml:space="preserve">in accordance </w:t>
      </w:r>
      <w:r w:rsidR="006C372A" w:rsidRPr="00801CF6">
        <w:rPr>
          <w:rFonts w:ascii="Times New Roman" w:eastAsia="Times New Roman" w:hAnsi="Times New Roman" w:cs="Times New Roman"/>
          <w:sz w:val="24"/>
          <w:szCs w:val="24"/>
        </w:rPr>
        <w:t xml:space="preserve">with </w:t>
      </w:r>
      <w:r w:rsidR="006C372A" w:rsidRPr="001C5619">
        <w:rPr>
          <w:rFonts w:ascii="Times New Roman" w:hAnsi="Times New Roman" w:cs="Times New Roman"/>
          <w:color w:val="000000"/>
          <w:sz w:val="24"/>
          <w:szCs w:val="24"/>
          <w:shd w:val="clear" w:color="auto" w:fill="F8F8F8"/>
        </w:rPr>
        <w:t>§15-830</w:t>
      </w:r>
      <w:r w:rsidR="00D85BB1">
        <w:rPr>
          <w:rFonts w:ascii="Times New Roman" w:hAnsi="Times New Roman" w:cs="Times New Roman"/>
          <w:color w:val="000000"/>
          <w:sz w:val="24"/>
          <w:szCs w:val="24"/>
          <w:shd w:val="clear" w:color="auto" w:fill="F8F8F8"/>
        </w:rPr>
        <w:t>,</w:t>
      </w:r>
      <w:r w:rsidR="00D85BB1" w:rsidRPr="00D85BB1">
        <w:rPr>
          <w:rFonts w:ascii="Times New Roman" w:eastAsia="Times New Roman" w:hAnsi="Times New Roman" w:cs="Times New Roman"/>
          <w:sz w:val="24"/>
          <w:szCs w:val="24"/>
        </w:rPr>
        <w:t xml:space="preserve"> when a carrier agrees to allow a member to receive a specific service from an out-of-network provider at the member's in-network cost-sharing fees.</w:t>
      </w:r>
      <w:r w:rsidR="00D85BB1">
        <w:rPr>
          <w:rFonts w:ascii="Times New Roman" w:eastAsia="Times New Roman" w:hAnsi="Times New Roman" w:cs="Times New Roman"/>
          <w:sz w:val="24"/>
          <w:szCs w:val="24"/>
        </w:rPr>
        <w:t xml:space="preserve"> </w:t>
      </w:r>
      <w:r w:rsidR="00D85BB1" w:rsidRPr="00D85BB1">
        <w:rPr>
          <w:rFonts w:ascii="Times New Roman" w:eastAsia="Times New Roman" w:hAnsi="Times New Roman" w:cs="Times New Roman"/>
          <w:sz w:val="24"/>
          <w:szCs w:val="24"/>
        </w:rPr>
        <w:t>This process is used when medically necessary care for covered services is not readily available and accessible to a member within the provider network.</w:t>
      </w:r>
    </w:p>
    <w:p w14:paraId="301D2B54" w14:textId="77777777" w:rsidR="00612BA7" w:rsidRDefault="00612BA7"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“Network Gap Exception Claims” means p</w:t>
      </w:r>
      <w:r w:rsidRPr="00612BA7">
        <w:rPr>
          <w:rFonts w:ascii="Times New Roman" w:eastAsia="Times New Roman" w:hAnsi="Times New Roman" w:cs="Times New Roman"/>
          <w:sz w:val="24"/>
          <w:szCs w:val="24"/>
        </w:rPr>
        <w:t>rocessed claims related to a network gap exception.</w:t>
      </w:r>
    </w:p>
    <w:p w14:paraId="5B10226F" w14:textId="15DE5A33" w:rsidR="005542F8" w:rsidRDefault="005542F8"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542F8">
        <w:rPr>
          <w:rFonts w:ascii="Times New Roman" w:eastAsia="Times New Roman" w:hAnsi="Times New Roman" w:cs="Times New Roman"/>
          <w:sz w:val="24"/>
          <w:szCs w:val="24"/>
        </w:rPr>
        <w:t>Office Visit Professional Services</w:t>
      </w:r>
      <w:r>
        <w:rPr>
          <w:rFonts w:ascii="Times New Roman" w:eastAsia="Times New Roman" w:hAnsi="Times New Roman" w:cs="Times New Roman"/>
          <w:sz w:val="24"/>
          <w:szCs w:val="24"/>
        </w:rPr>
        <w:t>” means n</w:t>
      </w:r>
      <w:r w:rsidRPr="005542F8">
        <w:rPr>
          <w:rFonts w:ascii="Times New Roman" w:eastAsia="Times New Roman" w:hAnsi="Times New Roman" w:cs="Times New Roman"/>
          <w:sz w:val="24"/>
          <w:szCs w:val="24"/>
        </w:rPr>
        <w:t>on-emergency professional services provided in an office visit setting</w:t>
      </w:r>
      <w:r>
        <w:rPr>
          <w:rFonts w:ascii="Times New Roman" w:eastAsia="Times New Roman" w:hAnsi="Times New Roman" w:cs="Times New Roman"/>
          <w:sz w:val="24"/>
          <w:szCs w:val="24"/>
        </w:rPr>
        <w:t>. See the Definitions and Instructions tab</w:t>
      </w:r>
      <w:r w:rsidR="009B63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Data Supplement 1</w:t>
      </w:r>
      <w:r w:rsidR="00D85BB1">
        <w:rPr>
          <w:rFonts w:ascii="Times New Roman" w:eastAsia="Times New Roman" w:hAnsi="Times New Roman" w:cs="Times New Roman"/>
          <w:sz w:val="24"/>
          <w:szCs w:val="24"/>
        </w:rPr>
        <w:t xml:space="preserve"> </w:t>
      </w:r>
      <w:r w:rsidR="009B63E9">
        <w:rPr>
          <w:rFonts w:ascii="Times New Roman" w:eastAsia="Times New Roman" w:hAnsi="Times New Roman" w:cs="Times New Roman"/>
          <w:sz w:val="24"/>
          <w:szCs w:val="24"/>
        </w:rPr>
        <w:t xml:space="preserve">and Data Supplement 5(A) </w:t>
      </w:r>
      <w:r>
        <w:rPr>
          <w:rFonts w:ascii="Times New Roman" w:eastAsia="Times New Roman" w:hAnsi="Times New Roman" w:cs="Times New Roman"/>
          <w:sz w:val="24"/>
          <w:szCs w:val="24"/>
        </w:rPr>
        <w:t xml:space="preserve">for </w:t>
      </w:r>
      <w:r w:rsidR="009B63E9">
        <w:rPr>
          <w:rFonts w:ascii="Times New Roman" w:eastAsia="Times New Roman" w:hAnsi="Times New Roman" w:cs="Times New Roman"/>
          <w:sz w:val="24"/>
          <w:szCs w:val="24"/>
        </w:rPr>
        <w:t>additional information</w:t>
      </w:r>
      <w:r>
        <w:rPr>
          <w:rFonts w:ascii="Times New Roman" w:eastAsia="Times New Roman" w:hAnsi="Times New Roman" w:cs="Times New Roman"/>
          <w:sz w:val="24"/>
          <w:szCs w:val="24"/>
        </w:rPr>
        <w:t xml:space="preserve">. </w:t>
      </w:r>
    </w:p>
    <w:p w14:paraId="066D1510" w14:textId="521020D0" w:rsidR="00612BA7" w:rsidRDefault="00612BA7"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“Out-of-Network Claims” means c</w:t>
      </w:r>
      <w:r w:rsidRPr="00612BA7">
        <w:rPr>
          <w:rFonts w:ascii="Times New Roman" w:eastAsia="Times New Roman" w:hAnsi="Times New Roman" w:cs="Times New Roman"/>
          <w:sz w:val="24"/>
          <w:szCs w:val="24"/>
        </w:rPr>
        <w:t>laims processed to a member's out-of-network benefits (excluding network gap exception claims).</w:t>
      </w:r>
    </w:p>
    <w:p w14:paraId="4FC79D62" w14:textId="5E588145" w:rsidR="009B63E9" w:rsidRDefault="009B63E9"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B63E9">
        <w:rPr>
          <w:rFonts w:ascii="Times New Roman" w:eastAsia="Times New Roman" w:hAnsi="Times New Roman" w:cs="Times New Roman"/>
          <w:sz w:val="24"/>
          <w:szCs w:val="24"/>
        </w:rPr>
        <w:t xml:space="preserve">Out-of-Network Claim, Claim Line, Concurrent Review, Prior Authorization </w:t>
      </w:r>
      <w:r>
        <w:rPr>
          <w:rFonts w:ascii="Times New Roman" w:eastAsia="Times New Roman" w:hAnsi="Times New Roman" w:cs="Times New Roman"/>
          <w:sz w:val="24"/>
          <w:szCs w:val="24"/>
        </w:rPr>
        <w:t>Review, or Retrospective Review” means a</w:t>
      </w:r>
      <w:r w:rsidRPr="009B63E9">
        <w:rPr>
          <w:rFonts w:ascii="Times New Roman" w:eastAsia="Times New Roman" w:hAnsi="Times New Roman" w:cs="Times New Roman"/>
          <w:sz w:val="24"/>
          <w:szCs w:val="24"/>
        </w:rPr>
        <w:t xml:space="preserve">ny Claim, Claim Line, Concurrent Review, Prior Authorization Review, or Retrospective Review that relates to an </w:t>
      </w:r>
      <w:r w:rsidR="00F01DCC">
        <w:rPr>
          <w:rFonts w:ascii="Times New Roman" w:eastAsia="Times New Roman" w:hAnsi="Times New Roman" w:cs="Times New Roman"/>
          <w:sz w:val="24"/>
          <w:szCs w:val="24"/>
        </w:rPr>
        <w:t>out-of-network</w:t>
      </w:r>
      <w:r w:rsidRPr="009B63E9">
        <w:rPr>
          <w:rFonts w:ascii="Times New Roman" w:eastAsia="Times New Roman" w:hAnsi="Times New Roman" w:cs="Times New Roman"/>
          <w:sz w:val="24"/>
          <w:szCs w:val="24"/>
        </w:rPr>
        <w:t xml:space="preserve"> Provider.</w:t>
      </w:r>
    </w:p>
    <w:p w14:paraId="462CE3DC" w14:textId="5B7B7678" w:rsidR="009B63E9" w:rsidRDefault="009B63E9"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“Out-of-Network Provider” means a</w:t>
      </w:r>
      <w:r w:rsidR="00F01DCC">
        <w:rPr>
          <w:rFonts w:ascii="Times New Roman" w:eastAsia="Times New Roman" w:hAnsi="Times New Roman" w:cs="Times New Roman"/>
          <w:sz w:val="24"/>
          <w:szCs w:val="24"/>
        </w:rPr>
        <w:t xml:space="preserve"> provider (that offered in-p</w:t>
      </w:r>
      <w:r w:rsidRPr="009B63E9">
        <w:rPr>
          <w:rFonts w:ascii="Times New Roman" w:eastAsia="Times New Roman" w:hAnsi="Times New Roman" w:cs="Times New Roman"/>
          <w:sz w:val="24"/>
          <w:szCs w:val="24"/>
        </w:rPr>
        <w:t xml:space="preserve">erson, Telehealth, or both types of services) that was not an </w:t>
      </w:r>
      <w:r w:rsidR="00F01DCC">
        <w:rPr>
          <w:rFonts w:ascii="Times New Roman" w:eastAsia="Times New Roman" w:hAnsi="Times New Roman" w:cs="Times New Roman"/>
          <w:sz w:val="24"/>
          <w:szCs w:val="24"/>
        </w:rPr>
        <w:t>In-Network p</w:t>
      </w:r>
      <w:r w:rsidRPr="009B63E9">
        <w:rPr>
          <w:rFonts w:ascii="Times New Roman" w:eastAsia="Times New Roman" w:hAnsi="Times New Roman" w:cs="Times New Roman"/>
          <w:sz w:val="24"/>
          <w:szCs w:val="24"/>
        </w:rPr>
        <w:t>rovider at the time that a Concurrent Review, Prior Authorization Review, or Retrospective Review was conducted, or a claim was submitted.</w:t>
      </w:r>
    </w:p>
    <w:p w14:paraId="40FCB328" w14:textId="61A997BB" w:rsidR="00DB10C0" w:rsidRDefault="007E13F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“Plan D</w:t>
      </w:r>
      <w:r w:rsidR="00203C8B" w:rsidRPr="00801CF6">
        <w:rPr>
          <w:rFonts w:ascii="Times New Roman" w:eastAsia="Times New Roman" w:hAnsi="Times New Roman" w:cs="Times New Roman"/>
          <w:sz w:val="24"/>
          <w:szCs w:val="24"/>
        </w:rPr>
        <w:t xml:space="preserve">ocuments” means all documents under which the plan is established or operated in which a carrier describes a requirement related to an NQTL, or the processes, strategies, evidentiary standards, and other factors used to apply an NQTL, including a policy, certificate of coverage, </w:t>
      </w:r>
      <w:r w:rsidR="00203C8B" w:rsidRPr="00801CF6">
        <w:rPr>
          <w:rFonts w:ascii="Times New Roman" w:eastAsia="Times New Roman" w:hAnsi="Times New Roman" w:cs="Times New Roman"/>
          <w:sz w:val="24"/>
          <w:szCs w:val="24"/>
        </w:rPr>
        <w:lastRenderedPageBreak/>
        <w:t xml:space="preserve">medical policy, medical necessity criteria or guideline, or provider manual.  Plan documents also include any document reflecting analyses conducted or results from such analyses related to the comparability and stringency of an NQTL for MH/SUD benefits as compared to </w:t>
      </w:r>
      <w:r w:rsidR="00FA3D0B" w:rsidRPr="00801CF6">
        <w:rPr>
          <w:rFonts w:ascii="Times New Roman" w:eastAsia="Times New Roman" w:hAnsi="Times New Roman" w:cs="Times New Roman"/>
          <w:sz w:val="24"/>
          <w:szCs w:val="24"/>
        </w:rPr>
        <w:t>medical/surgical</w:t>
      </w:r>
      <w:r w:rsidR="00203C8B" w:rsidRPr="00801CF6">
        <w:rPr>
          <w:rFonts w:ascii="Times New Roman" w:eastAsia="Times New Roman" w:hAnsi="Times New Roman" w:cs="Times New Roman"/>
          <w:sz w:val="24"/>
          <w:szCs w:val="24"/>
        </w:rPr>
        <w:t xml:space="preserve"> benefits.     </w:t>
      </w:r>
    </w:p>
    <w:p w14:paraId="422ED90B" w14:textId="63B078E2" w:rsidR="00D331DF" w:rsidRPr="00801CF6" w:rsidRDefault="00D331DF"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“Prior Authorization Review” includes</w:t>
      </w:r>
      <w:r w:rsidR="005B00AB">
        <w:rPr>
          <w:rFonts w:ascii="Times New Roman" w:eastAsia="Times New Roman" w:hAnsi="Times New Roman" w:cs="Times New Roman"/>
          <w:sz w:val="24"/>
          <w:szCs w:val="24"/>
        </w:rPr>
        <w:t xml:space="preserve"> pre-service and pre-treatment r</w:t>
      </w:r>
      <w:r w:rsidRPr="00D331DF">
        <w:rPr>
          <w:rFonts w:ascii="Times New Roman" w:eastAsia="Times New Roman" w:hAnsi="Times New Roman" w:cs="Times New Roman"/>
          <w:sz w:val="24"/>
          <w:szCs w:val="24"/>
        </w:rPr>
        <w:t xml:space="preserve">eviews. </w:t>
      </w:r>
    </w:p>
    <w:p w14:paraId="77789ACD" w14:textId="33C31D20" w:rsidR="00DB10C0" w:rsidRDefault="00203C8B" w:rsidP="00F06365">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“Product” has the meaning stated in § 15-1309(a)(3), and means a discrete package of health benefits that are offered using a particular product network type within a geographic service area.  “Product” comprises all plans offered within the product.</w:t>
      </w:r>
    </w:p>
    <w:p w14:paraId="5F412984" w14:textId="413E6C3F" w:rsidR="00D331DF" w:rsidRDefault="00D331DF" w:rsidP="00F06365">
      <w:pPr>
        <w:ind w:left="0" w:firstLine="0"/>
        <w:rPr>
          <w:rFonts w:ascii="Times New Roman" w:eastAsia="Times New Roman" w:hAnsi="Times New Roman" w:cs="Times New Roman"/>
          <w:sz w:val="24"/>
          <w:szCs w:val="24"/>
        </w:rPr>
      </w:pPr>
      <w:r w:rsidRPr="008252BA">
        <w:rPr>
          <w:rFonts w:ascii="Times New Roman" w:eastAsia="Times New Roman" w:hAnsi="Times New Roman" w:cs="Times New Roman"/>
          <w:sz w:val="24"/>
          <w:szCs w:val="24"/>
        </w:rPr>
        <w:t>“Professional Providers</w:t>
      </w:r>
      <w:r w:rsidR="00926F69" w:rsidRPr="008252BA">
        <w:rPr>
          <w:rFonts w:ascii="Times New Roman" w:eastAsia="Times New Roman" w:hAnsi="Times New Roman" w:cs="Times New Roman"/>
          <w:sz w:val="24"/>
          <w:szCs w:val="24"/>
        </w:rPr>
        <w:t>.</w:t>
      </w:r>
      <w:r w:rsidRPr="008252BA">
        <w:rPr>
          <w:rFonts w:ascii="Times New Roman" w:eastAsia="Times New Roman" w:hAnsi="Times New Roman" w:cs="Times New Roman"/>
          <w:sz w:val="24"/>
          <w:szCs w:val="24"/>
        </w:rPr>
        <w:t xml:space="preserve">” </w:t>
      </w:r>
      <w:r w:rsidR="00926F69" w:rsidRPr="008252BA">
        <w:rPr>
          <w:rFonts w:ascii="Times New Roman" w:eastAsia="Times New Roman" w:hAnsi="Times New Roman" w:cs="Times New Roman"/>
          <w:sz w:val="24"/>
          <w:szCs w:val="24"/>
        </w:rPr>
        <w:t>S</w:t>
      </w:r>
      <w:r w:rsidRPr="008252BA">
        <w:rPr>
          <w:rFonts w:ascii="Times New Roman" w:eastAsia="Times New Roman" w:hAnsi="Times New Roman" w:cs="Times New Roman"/>
          <w:sz w:val="24"/>
          <w:szCs w:val="24"/>
        </w:rPr>
        <w:t>ee the Definitions and Instructions tab of Data Supplement 5(A).</w:t>
      </w:r>
      <w:r>
        <w:rPr>
          <w:rFonts w:ascii="Times New Roman" w:eastAsia="Times New Roman" w:hAnsi="Times New Roman" w:cs="Times New Roman"/>
          <w:sz w:val="24"/>
          <w:szCs w:val="24"/>
        </w:rPr>
        <w:t xml:space="preserve"> </w:t>
      </w:r>
    </w:p>
    <w:p w14:paraId="6B131FBF" w14:textId="12D506D1" w:rsidR="00265FC6" w:rsidRDefault="00E01148"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65FC6" w:rsidRPr="00265FC6">
        <w:rPr>
          <w:rFonts w:ascii="Times New Roman" w:eastAsia="Times New Roman" w:hAnsi="Times New Roman" w:cs="Times New Roman"/>
          <w:sz w:val="24"/>
          <w:szCs w:val="24"/>
        </w:rPr>
        <w:t>rofessional Services</w:t>
      </w:r>
      <w:r>
        <w:rPr>
          <w:rFonts w:ascii="Times New Roman" w:eastAsia="Times New Roman" w:hAnsi="Times New Roman" w:cs="Times New Roman"/>
          <w:sz w:val="24"/>
          <w:szCs w:val="24"/>
        </w:rPr>
        <w:t>” means n</w:t>
      </w:r>
      <w:r w:rsidR="00265FC6" w:rsidRPr="00265FC6">
        <w:rPr>
          <w:rFonts w:ascii="Times New Roman" w:eastAsia="Times New Roman" w:hAnsi="Times New Roman" w:cs="Times New Roman"/>
          <w:sz w:val="24"/>
          <w:szCs w:val="24"/>
        </w:rPr>
        <w:t>on-emergency services by Professional Providers in either a facility setting (i.e., Facility-Based Professional Services) or an office visit setting (i.e., Office Visit Professional Services).</w:t>
      </w:r>
    </w:p>
    <w:p w14:paraId="653FF658" w14:textId="1C4A660B" w:rsidR="0049037A" w:rsidRDefault="0049037A"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“Provider” means an individual practitioner, hospital, or other person that is licensed or otherwise authorized to provide health care services. “Provider” includes a group practice. </w:t>
      </w:r>
    </w:p>
    <w:p w14:paraId="6D3984EB" w14:textId="639829EF" w:rsidR="00E01148" w:rsidRDefault="00E01148"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01148">
        <w:rPr>
          <w:rFonts w:ascii="Times New Roman" w:eastAsia="Times New Roman" w:hAnsi="Times New Roman" w:cs="Times New Roman"/>
          <w:sz w:val="24"/>
          <w:szCs w:val="24"/>
        </w:rPr>
        <w:t>Post-Claim Payment Review</w:t>
      </w:r>
      <w:r>
        <w:rPr>
          <w:rFonts w:ascii="Times New Roman" w:eastAsia="Times New Roman" w:hAnsi="Times New Roman" w:cs="Times New Roman"/>
          <w:sz w:val="24"/>
          <w:szCs w:val="24"/>
        </w:rPr>
        <w:t>” means</w:t>
      </w:r>
      <w:r w:rsidRPr="00E01148">
        <w:rPr>
          <w:rFonts w:ascii="Times New Roman" w:eastAsia="Times New Roman" w:hAnsi="Times New Roman" w:cs="Times New Roman"/>
          <w:sz w:val="24"/>
          <w:szCs w:val="24"/>
        </w:rPr>
        <w:t xml:space="preserve"> Retrospective Review that occurs after the claim has been paid.   </w:t>
      </w:r>
    </w:p>
    <w:p w14:paraId="5F8D9B5A" w14:textId="715F1E02" w:rsidR="00E01148" w:rsidRPr="00801CF6" w:rsidRDefault="00E01148"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01148">
        <w:rPr>
          <w:rFonts w:ascii="Times New Roman" w:eastAsia="Times New Roman" w:hAnsi="Times New Roman" w:cs="Times New Roman"/>
          <w:sz w:val="24"/>
          <w:szCs w:val="24"/>
        </w:rPr>
        <w:t>Pre-Cla</w:t>
      </w:r>
      <w:r>
        <w:rPr>
          <w:rFonts w:ascii="Times New Roman" w:eastAsia="Times New Roman" w:hAnsi="Times New Roman" w:cs="Times New Roman"/>
          <w:sz w:val="24"/>
          <w:szCs w:val="24"/>
        </w:rPr>
        <w:t>im Payment Review” means</w:t>
      </w:r>
      <w:r w:rsidRPr="00E01148">
        <w:rPr>
          <w:rFonts w:ascii="Times New Roman" w:eastAsia="Times New Roman" w:hAnsi="Times New Roman" w:cs="Times New Roman"/>
          <w:sz w:val="24"/>
          <w:szCs w:val="24"/>
        </w:rPr>
        <w:t xml:space="preserve"> Retrospective Review that occurs before the claim has been paid.</w:t>
      </w:r>
    </w:p>
    <w:p w14:paraId="1D58DD90" w14:textId="5C7274CC" w:rsidR="009638A8" w:rsidRDefault="00203C8B" w:rsidP="00F06365">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“Reimbursement” means compensation or the amount allowed to a health care provider, member, or other person entitled to reimbursement by a carrier, or the combined amount of the carrier’s payment and member’s cost-sharing responsibility, for providing health care services, medications, or supplies to members of the health benefit plan. Reimbursement includes, but is not limited to, fee</w:t>
      </w:r>
      <w:r w:rsidR="005B00AB">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for</w:t>
      </w:r>
      <w:r w:rsidR="005B00AB">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service payments, capitation payments, bundled or global payments, and bonuses or other incentive payments.</w:t>
      </w:r>
    </w:p>
    <w:p w14:paraId="1DD7C958" w14:textId="5D1A7AA9" w:rsidR="0049037A" w:rsidRDefault="007E13F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“Reimbursement R</w:t>
      </w:r>
      <w:r w:rsidR="005B00AB">
        <w:rPr>
          <w:rFonts w:ascii="Times New Roman" w:eastAsia="Times New Roman" w:hAnsi="Times New Roman" w:cs="Times New Roman"/>
          <w:sz w:val="24"/>
          <w:szCs w:val="24"/>
        </w:rPr>
        <w:t>ate” or “F</w:t>
      </w:r>
      <w:r w:rsidR="0049037A">
        <w:rPr>
          <w:rFonts w:ascii="Times New Roman" w:eastAsia="Times New Roman" w:hAnsi="Times New Roman" w:cs="Times New Roman"/>
          <w:sz w:val="24"/>
          <w:szCs w:val="24"/>
        </w:rPr>
        <w:t>ee” means a</w:t>
      </w:r>
      <w:r w:rsidR="00624C9D">
        <w:rPr>
          <w:rFonts w:ascii="Times New Roman" w:eastAsia="Times New Roman" w:hAnsi="Times New Roman" w:cs="Times New Roman"/>
          <w:sz w:val="24"/>
          <w:szCs w:val="24"/>
        </w:rPr>
        <w:t xml:space="preserve">n amount payable for a discrete unit of service such as a CPT code, per diem, or diagnosis-related group. </w:t>
      </w:r>
    </w:p>
    <w:p w14:paraId="6E636804" w14:textId="5DF1B0D6" w:rsidR="00E01148" w:rsidRDefault="00E01148"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“Retrospective Review</w:t>
      </w:r>
      <w:r w:rsidR="00D833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833BB">
        <w:rPr>
          <w:rFonts w:ascii="Times New Roman" w:eastAsia="Times New Roman" w:hAnsi="Times New Roman" w:cs="Times New Roman"/>
          <w:sz w:val="24"/>
          <w:szCs w:val="24"/>
        </w:rPr>
        <w:t>S</w:t>
      </w:r>
      <w:r>
        <w:rPr>
          <w:rFonts w:ascii="Times New Roman" w:eastAsia="Times New Roman" w:hAnsi="Times New Roman" w:cs="Times New Roman"/>
          <w:sz w:val="24"/>
          <w:szCs w:val="24"/>
        </w:rPr>
        <w:t>ee the Definitions and Instructions tab of Data Supplement 5(A).</w:t>
      </w:r>
    </w:p>
    <w:p w14:paraId="12C32215" w14:textId="6DF77497" w:rsidR="005F0EC2" w:rsidRDefault="007E13F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“Single Case A</w:t>
      </w:r>
      <w:r w:rsidR="005F0EC2" w:rsidRPr="00801CF6">
        <w:rPr>
          <w:rFonts w:ascii="Times New Roman" w:eastAsia="Times New Roman" w:hAnsi="Times New Roman" w:cs="Times New Roman"/>
          <w:sz w:val="24"/>
          <w:szCs w:val="24"/>
        </w:rPr>
        <w:t>greement” means a one</w:t>
      </w:r>
      <w:r w:rsidR="003170F3" w:rsidRPr="00801CF6">
        <w:rPr>
          <w:rFonts w:ascii="Times New Roman" w:eastAsia="Times New Roman" w:hAnsi="Times New Roman" w:cs="Times New Roman"/>
          <w:sz w:val="24"/>
          <w:szCs w:val="24"/>
        </w:rPr>
        <w:t>-</w:t>
      </w:r>
      <w:r w:rsidR="005F0EC2" w:rsidRPr="00801CF6">
        <w:rPr>
          <w:rFonts w:ascii="Times New Roman" w:eastAsia="Times New Roman" w:hAnsi="Times New Roman" w:cs="Times New Roman"/>
          <w:sz w:val="24"/>
          <w:szCs w:val="24"/>
        </w:rPr>
        <w:t>time contract between the carrier (or designated entity on behalf of the carrier) and an out</w:t>
      </w:r>
      <w:r w:rsidR="00381636">
        <w:rPr>
          <w:rFonts w:ascii="Times New Roman" w:eastAsia="Times New Roman" w:hAnsi="Times New Roman" w:cs="Times New Roman"/>
          <w:sz w:val="24"/>
          <w:szCs w:val="24"/>
        </w:rPr>
        <w:t>-</w:t>
      </w:r>
      <w:r w:rsidR="00565E4F">
        <w:rPr>
          <w:rFonts w:ascii="Times New Roman" w:eastAsia="Times New Roman" w:hAnsi="Times New Roman" w:cs="Times New Roman"/>
          <w:sz w:val="24"/>
          <w:szCs w:val="24"/>
        </w:rPr>
        <w:t>of</w:t>
      </w:r>
      <w:r w:rsidR="00381636">
        <w:rPr>
          <w:rFonts w:ascii="Times New Roman" w:eastAsia="Times New Roman" w:hAnsi="Times New Roman" w:cs="Times New Roman"/>
          <w:sz w:val="24"/>
          <w:szCs w:val="24"/>
        </w:rPr>
        <w:t>-</w:t>
      </w:r>
      <w:r w:rsidR="005F0EC2" w:rsidRPr="00801CF6">
        <w:rPr>
          <w:rFonts w:ascii="Times New Roman" w:eastAsia="Times New Roman" w:hAnsi="Times New Roman" w:cs="Times New Roman"/>
          <w:sz w:val="24"/>
          <w:szCs w:val="24"/>
        </w:rPr>
        <w:t>network healthcare provider or facility to cover a patient’s treatment at a negotiated reimbursement rate.</w:t>
      </w:r>
    </w:p>
    <w:p w14:paraId="1F49C8DF" w14:textId="352C2891" w:rsidR="00FD3227" w:rsidRDefault="00FD3227" w:rsidP="00F06365">
      <w:pPr>
        <w:ind w:left="0" w:firstLine="0"/>
        <w:rPr>
          <w:rFonts w:ascii="Times New Roman" w:eastAsia="Times New Roman" w:hAnsi="Times New Roman" w:cs="Times New Roman"/>
          <w:sz w:val="24"/>
          <w:szCs w:val="24"/>
        </w:rPr>
      </w:pPr>
      <w:r w:rsidRPr="00FD3227">
        <w:rPr>
          <w:rFonts w:ascii="Times New Roman" w:eastAsia="Times New Roman" w:hAnsi="Times New Roman" w:cs="Times New Roman"/>
          <w:sz w:val="24"/>
          <w:szCs w:val="24"/>
        </w:rPr>
        <w:t>"Step Therapy" means a protocol that requires a prescription drug, sequence of prescription drugs, or treatment to be used by an insured before a prescription drug or treatment ordered by a prescriber for the insured is covered. (See § 15-142(a)(4))</w:t>
      </w:r>
    </w:p>
    <w:p w14:paraId="7A1D1B76" w14:textId="3CA378DA" w:rsidR="00396CA6" w:rsidRDefault="00396CA6"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96CA6">
        <w:rPr>
          <w:rFonts w:ascii="Times New Roman" w:eastAsia="Times New Roman" w:hAnsi="Times New Roman" w:cs="Times New Roman"/>
          <w:sz w:val="24"/>
          <w:szCs w:val="24"/>
        </w:rPr>
        <w:t>Subs</w:t>
      </w:r>
      <w:r>
        <w:rPr>
          <w:rFonts w:ascii="Times New Roman" w:eastAsia="Times New Roman" w:hAnsi="Times New Roman" w:cs="Times New Roman"/>
          <w:sz w:val="24"/>
          <w:szCs w:val="24"/>
        </w:rPr>
        <w:t>tance Use Disorder (SUD) Claims” means c</w:t>
      </w:r>
      <w:r w:rsidRPr="00396CA6">
        <w:rPr>
          <w:rFonts w:ascii="Times New Roman" w:eastAsia="Times New Roman" w:hAnsi="Times New Roman" w:cs="Times New Roman"/>
          <w:sz w:val="24"/>
          <w:szCs w:val="24"/>
        </w:rPr>
        <w:t>laims with a primary substance use disorder diagnosis.</w:t>
      </w:r>
    </w:p>
    <w:p w14:paraId="0B9792DE" w14:textId="19017D59" w:rsidR="009D584A" w:rsidRDefault="00B3542C"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“Telehealth Claim Line” means</w:t>
      </w:r>
      <w:r w:rsidR="009D584A">
        <w:rPr>
          <w:rFonts w:ascii="Times New Roman" w:eastAsia="Times New Roman" w:hAnsi="Times New Roman" w:cs="Times New Roman"/>
          <w:sz w:val="24"/>
          <w:szCs w:val="24"/>
        </w:rPr>
        <w:t>, for purposes of Data Supplement 1,</w:t>
      </w:r>
      <w:r w:rsidR="00E011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B3542C">
        <w:rPr>
          <w:rFonts w:ascii="Times New Roman" w:eastAsia="Times New Roman" w:hAnsi="Times New Roman" w:cs="Times New Roman"/>
          <w:sz w:val="24"/>
          <w:szCs w:val="24"/>
        </w:rPr>
        <w:t>ny Office Visit Professional Services Claim Line</w:t>
      </w:r>
      <w:r w:rsidR="001336D5">
        <w:rPr>
          <w:rFonts w:ascii="Times New Roman" w:eastAsia="Times New Roman" w:hAnsi="Times New Roman" w:cs="Times New Roman"/>
          <w:sz w:val="24"/>
          <w:szCs w:val="24"/>
        </w:rPr>
        <w:t xml:space="preserve"> that</w:t>
      </w:r>
      <w:r w:rsidRPr="00B3542C">
        <w:rPr>
          <w:rFonts w:ascii="Times New Roman" w:eastAsia="Times New Roman" w:hAnsi="Times New Roman" w:cs="Times New Roman"/>
          <w:sz w:val="24"/>
          <w:szCs w:val="24"/>
        </w:rPr>
        <w:t xml:space="preserve"> (a) uses POS</w:t>
      </w:r>
      <w:r w:rsidR="001336D5">
        <w:rPr>
          <w:rFonts w:ascii="Times New Roman" w:eastAsia="Times New Roman" w:hAnsi="Times New Roman" w:cs="Times New Roman"/>
          <w:sz w:val="24"/>
          <w:szCs w:val="24"/>
        </w:rPr>
        <w:t xml:space="preserve"> 1</w:t>
      </w:r>
      <w:r w:rsidRPr="00B3542C">
        <w:rPr>
          <w:rFonts w:ascii="Times New Roman" w:eastAsia="Times New Roman" w:hAnsi="Times New Roman" w:cs="Times New Roman"/>
          <w:sz w:val="24"/>
          <w:szCs w:val="24"/>
        </w:rPr>
        <w:t xml:space="preserve">0, or (b) uses any POS listed in the “Table of Office Visit </w:t>
      </w:r>
      <w:r w:rsidRPr="00B3542C">
        <w:rPr>
          <w:rFonts w:ascii="Times New Roman" w:eastAsia="Times New Roman" w:hAnsi="Times New Roman" w:cs="Times New Roman"/>
          <w:sz w:val="24"/>
          <w:szCs w:val="24"/>
        </w:rPr>
        <w:lastRenderedPageBreak/>
        <w:t>Professional Services POSs” and has a telehealth billing code (for example, 99451, T1014, and G2012) and/or modifier (such as, 93, 95, GQ, G0, GT, and FQ). Note: POS 02 is not included in the definition of a Telehealth Claim Line</w:t>
      </w:r>
      <w:r w:rsidR="009D584A">
        <w:rPr>
          <w:rFonts w:ascii="Times New Roman" w:eastAsia="Times New Roman" w:hAnsi="Times New Roman" w:cs="Times New Roman"/>
          <w:sz w:val="24"/>
          <w:szCs w:val="24"/>
        </w:rPr>
        <w:t xml:space="preserve"> for this purpose</w:t>
      </w:r>
      <w:r w:rsidRPr="00B3542C">
        <w:rPr>
          <w:rFonts w:ascii="Times New Roman" w:eastAsia="Times New Roman" w:hAnsi="Times New Roman" w:cs="Times New Roman"/>
          <w:sz w:val="24"/>
          <w:szCs w:val="24"/>
        </w:rPr>
        <w:t>.</w:t>
      </w:r>
      <w:r w:rsidR="009D584A">
        <w:rPr>
          <w:rFonts w:ascii="Times New Roman" w:eastAsia="Times New Roman" w:hAnsi="Times New Roman" w:cs="Times New Roman"/>
          <w:sz w:val="24"/>
          <w:szCs w:val="24"/>
        </w:rPr>
        <w:t xml:space="preserve"> </w:t>
      </w:r>
    </w:p>
    <w:p w14:paraId="205FDA30" w14:textId="04F379E2" w:rsidR="00B3542C" w:rsidRDefault="009D584A" w:rsidP="00F06365">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D584A">
        <w:rPr>
          <w:rFonts w:ascii="Times New Roman" w:eastAsia="Times New Roman" w:hAnsi="Times New Roman" w:cs="Times New Roman"/>
          <w:sz w:val="24"/>
          <w:szCs w:val="24"/>
        </w:rPr>
        <w:t>Telehealth Claim Line</w:t>
      </w:r>
      <w:r>
        <w:rPr>
          <w:rFonts w:ascii="Times New Roman" w:eastAsia="Times New Roman" w:hAnsi="Times New Roman" w:cs="Times New Roman"/>
          <w:sz w:val="24"/>
          <w:szCs w:val="24"/>
        </w:rPr>
        <w:t>” for purposes of Data Supplement 5(A), means a</w:t>
      </w:r>
      <w:r w:rsidRPr="009D584A">
        <w:rPr>
          <w:rFonts w:ascii="Times New Roman" w:eastAsia="Times New Roman" w:hAnsi="Times New Roman" w:cs="Times New Roman"/>
          <w:sz w:val="24"/>
          <w:szCs w:val="24"/>
        </w:rPr>
        <w:t>ny Facility-Based Professional Services or Office Visit Professional Services Claim Line (a) that uses POS 02 or 10, or (b) that uses any POS and has a telehealth billing code (for example, 99451, T1014, or G2012) and/or modifier (for example, 93, 95, GQ, G0, GT, or FQ).</w:t>
      </w:r>
    </w:p>
    <w:p w14:paraId="4CBC0543" w14:textId="1AB81881" w:rsidR="005A3859" w:rsidRDefault="005A3859" w:rsidP="00F06365">
      <w:pPr>
        <w:ind w:left="0" w:firstLine="0"/>
        <w:rPr>
          <w:rFonts w:ascii="Times New Roman" w:eastAsia="Times New Roman" w:hAnsi="Times New Roman" w:cs="Times New Roman"/>
          <w:sz w:val="24"/>
          <w:szCs w:val="24"/>
        </w:rPr>
      </w:pPr>
      <w:r w:rsidRPr="005A3859">
        <w:rPr>
          <w:rFonts w:ascii="Times New Roman" w:eastAsia="Times New Roman" w:hAnsi="Times New Roman" w:cs="Times New Roman"/>
          <w:sz w:val="24"/>
          <w:szCs w:val="24"/>
        </w:rPr>
        <w:t>“Utilization review” means a system for reviewing the appropriate and efficient allocation of hospital resources and services given or proposed to be given to a patient or group of patients.</w:t>
      </w:r>
    </w:p>
    <w:p w14:paraId="48AA0049" w14:textId="77777777" w:rsidR="0078489A" w:rsidRDefault="0078489A">
      <w:pPr>
        <w:ind w:left="0" w:firstLine="0"/>
        <w:rPr>
          <w:rFonts w:ascii="Times New Roman" w:eastAsia="Times New Roman" w:hAnsi="Times New Roman" w:cs="Times New Roman"/>
          <w:sz w:val="24"/>
          <w:szCs w:val="24"/>
        </w:rPr>
      </w:pPr>
    </w:p>
    <w:p w14:paraId="6F6BB01D" w14:textId="59457408" w:rsidR="00AB12BC" w:rsidRDefault="00CC4F29" w:rsidP="002052F6">
      <w:pPr>
        <w:pStyle w:val="Heading1"/>
        <w:jc w:val="center"/>
      </w:pPr>
      <w:bookmarkStart w:id="20" w:name="_3rdcrjn" w:colFirst="0" w:colLast="0"/>
      <w:bookmarkStart w:id="21" w:name="_Toc229123341"/>
      <w:bookmarkStart w:id="22" w:name="_Toc229123619"/>
      <w:bookmarkEnd w:id="20"/>
      <w:r>
        <w:t>G</w:t>
      </w:r>
      <w:r w:rsidR="00AB12BC" w:rsidRPr="00801CF6">
        <w:t>ENERAL INSTRUCTIONS</w:t>
      </w:r>
      <w:r w:rsidR="002762B1">
        <w:t xml:space="preserve"> FOR </w:t>
      </w:r>
      <w:r w:rsidR="009638A8">
        <w:t>EVERY</w:t>
      </w:r>
      <w:r w:rsidR="002762B1">
        <w:t xml:space="preserve"> NQTL</w:t>
      </w:r>
      <w:bookmarkEnd w:id="21"/>
      <w:bookmarkEnd w:id="22"/>
    </w:p>
    <w:p w14:paraId="1D55EBB7" w14:textId="31889F0E" w:rsidR="00CC4F29" w:rsidRDefault="00CC4F29" w:rsidP="00CC4F29">
      <w:pPr>
        <w:pStyle w:val="Heading2"/>
        <w:spacing w:before="320" w:after="40" w:line="252" w:lineRule="auto"/>
        <w:ind w:left="0" w:firstLine="0"/>
        <w:rPr>
          <w:sz w:val="24"/>
          <w:szCs w:val="24"/>
          <w:u w:val="none"/>
        </w:rPr>
      </w:pPr>
      <w:r>
        <w:rPr>
          <w:sz w:val="24"/>
          <w:szCs w:val="24"/>
          <w:u w:val="none"/>
        </w:rPr>
        <w:t xml:space="preserve">The instructions in this document </w:t>
      </w:r>
      <w:r w:rsidR="007369B8">
        <w:rPr>
          <w:sz w:val="24"/>
          <w:szCs w:val="24"/>
          <w:u w:val="none"/>
        </w:rPr>
        <w:t>indicate</w:t>
      </w:r>
      <w:r w:rsidR="0078489A">
        <w:rPr>
          <w:sz w:val="24"/>
          <w:szCs w:val="24"/>
          <w:u w:val="none"/>
        </w:rPr>
        <w:t xml:space="preserve"> </w:t>
      </w:r>
      <w:r w:rsidRPr="002052F6">
        <w:rPr>
          <w:sz w:val="24"/>
          <w:szCs w:val="24"/>
          <w:u w:val="none"/>
        </w:rPr>
        <w:t xml:space="preserve">the minimum content that must be included for each of the steps in </w:t>
      </w:r>
      <w:r>
        <w:rPr>
          <w:sz w:val="24"/>
          <w:szCs w:val="24"/>
          <w:u w:val="none"/>
        </w:rPr>
        <w:t>a comparative analysi</w:t>
      </w:r>
      <w:r w:rsidRPr="002052F6">
        <w:rPr>
          <w:sz w:val="24"/>
          <w:szCs w:val="24"/>
          <w:u w:val="none"/>
        </w:rPr>
        <w:t xml:space="preserve">s. Carriers are advised that any </w:t>
      </w:r>
      <w:r>
        <w:rPr>
          <w:sz w:val="24"/>
          <w:szCs w:val="24"/>
          <w:u w:val="none"/>
        </w:rPr>
        <w:t>analysi</w:t>
      </w:r>
      <w:r w:rsidRPr="002052F6">
        <w:rPr>
          <w:sz w:val="24"/>
          <w:szCs w:val="24"/>
          <w:u w:val="none"/>
        </w:rPr>
        <w:t>s that fail</w:t>
      </w:r>
      <w:r>
        <w:rPr>
          <w:sz w:val="24"/>
          <w:szCs w:val="24"/>
          <w:u w:val="none"/>
        </w:rPr>
        <w:t>s</w:t>
      </w:r>
      <w:r w:rsidRPr="002052F6">
        <w:rPr>
          <w:sz w:val="24"/>
          <w:szCs w:val="24"/>
          <w:u w:val="none"/>
        </w:rPr>
        <w:t xml:space="preserve"> to address information specified in these instructions will be deemed insufficient and non-compliant. This first section of this document addresses general requirements applicable to each NQTL</w:t>
      </w:r>
      <w:r>
        <w:rPr>
          <w:sz w:val="24"/>
          <w:szCs w:val="24"/>
          <w:u w:val="none"/>
        </w:rPr>
        <w:t>.</w:t>
      </w:r>
    </w:p>
    <w:p w14:paraId="1455DD79" w14:textId="2026BAE1" w:rsidR="00E252D9" w:rsidRPr="002052F6" w:rsidRDefault="00E252D9" w:rsidP="00E252D9">
      <w:pPr>
        <w:pStyle w:val="Heading2"/>
        <w:spacing w:before="320" w:after="40"/>
        <w:ind w:left="0" w:firstLine="0"/>
        <w:rPr>
          <w:b/>
          <w:sz w:val="24"/>
          <w:szCs w:val="24"/>
        </w:rPr>
      </w:pPr>
      <w:bookmarkStart w:id="23" w:name="_Toc229123342"/>
      <w:bookmarkStart w:id="24" w:name="_Toc229123620"/>
      <w:r w:rsidRPr="002052F6">
        <w:rPr>
          <w:b/>
          <w:sz w:val="24"/>
          <w:szCs w:val="24"/>
        </w:rPr>
        <w:t>Product/Plan Information</w:t>
      </w:r>
      <w:r w:rsidR="001519AA" w:rsidRPr="002052F6">
        <w:rPr>
          <w:b/>
          <w:sz w:val="24"/>
          <w:szCs w:val="24"/>
        </w:rPr>
        <w:t xml:space="preserve"> and Covered Services</w:t>
      </w:r>
      <w:bookmarkEnd w:id="23"/>
      <w:bookmarkEnd w:id="24"/>
      <w:r w:rsidRPr="002052F6">
        <w:rPr>
          <w:b/>
          <w:sz w:val="24"/>
          <w:szCs w:val="24"/>
        </w:rPr>
        <w:t xml:space="preserve"> </w:t>
      </w:r>
    </w:p>
    <w:p w14:paraId="52F8C2BA" w14:textId="77777777" w:rsidR="00414D6E" w:rsidRPr="00414D6E" w:rsidRDefault="00414D6E" w:rsidP="00414D6E"/>
    <w:p w14:paraId="3D1E307E" w14:textId="382E2CE5" w:rsidR="00E252D9" w:rsidRPr="00CA4833" w:rsidRDefault="006041B8" w:rsidP="00E252D9">
      <w:pPr>
        <w:ind w:left="0" w:firstLine="0"/>
        <w:rPr>
          <w:rFonts w:ascii="Times New Roman" w:eastAsia="Times New Roman" w:hAnsi="Times New Roman" w:cs="Times New Roman"/>
          <w:sz w:val="24"/>
          <w:szCs w:val="24"/>
        </w:rPr>
      </w:pPr>
      <w:r w:rsidRPr="00CA4833">
        <w:rPr>
          <w:rFonts w:ascii="Times New Roman" w:eastAsia="Times New Roman" w:hAnsi="Times New Roman" w:cs="Times New Roman"/>
          <w:sz w:val="24"/>
          <w:szCs w:val="24"/>
        </w:rPr>
        <w:t>In the NQTL Analysis Report Template (under “Product/Plan Information”), p</w:t>
      </w:r>
      <w:r w:rsidR="00E252D9" w:rsidRPr="00CA4833">
        <w:rPr>
          <w:rFonts w:ascii="Times New Roman" w:eastAsia="Times New Roman" w:hAnsi="Times New Roman" w:cs="Times New Roman"/>
          <w:sz w:val="24"/>
          <w:szCs w:val="24"/>
        </w:rPr>
        <w:t>rovide a brief description of the product</w:t>
      </w:r>
      <w:r w:rsidRPr="00CA4833">
        <w:rPr>
          <w:rFonts w:ascii="Times New Roman" w:eastAsia="Times New Roman" w:hAnsi="Times New Roman" w:cs="Times New Roman"/>
          <w:sz w:val="24"/>
          <w:szCs w:val="24"/>
        </w:rPr>
        <w:t xml:space="preserve"> (or plan, as applicable)</w:t>
      </w:r>
      <w:r w:rsidR="00E252D9" w:rsidRPr="00CA4833">
        <w:rPr>
          <w:rFonts w:ascii="Times New Roman" w:eastAsia="Times New Roman" w:hAnsi="Times New Roman" w:cs="Times New Roman"/>
          <w:sz w:val="24"/>
          <w:szCs w:val="24"/>
        </w:rPr>
        <w:t xml:space="preserve">, including an explanation of any features or characteristics that differentiate this product from other products offered by the carrier in the same market.  Provide the form numbers, approval dates, and SERFF tracking numbers for all forms comprising the entire contract of insurance for the product.  If there are separate schedule of benefits forms for each plan within the product, it is only necessary to provide the identifying information for one sample schedule of benefits form.  </w:t>
      </w:r>
    </w:p>
    <w:p w14:paraId="6756F3A6" w14:textId="13922300" w:rsidR="00444EA7" w:rsidRDefault="00E252D9" w:rsidP="00E252D9">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A separate analysis report </w:t>
      </w:r>
      <w:r w:rsidR="00414D6E">
        <w:rPr>
          <w:rFonts w:ascii="Times New Roman" w:eastAsia="Times New Roman" w:hAnsi="Times New Roman" w:cs="Times New Roman"/>
          <w:sz w:val="24"/>
          <w:szCs w:val="24"/>
        </w:rPr>
        <w:t>is</w:t>
      </w:r>
      <w:r w:rsidRPr="00801CF6">
        <w:rPr>
          <w:rFonts w:ascii="Times New Roman" w:eastAsia="Times New Roman" w:hAnsi="Times New Roman" w:cs="Times New Roman"/>
          <w:sz w:val="24"/>
          <w:szCs w:val="24"/>
        </w:rPr>
        <w:t xml:space="preserve"> submitted for each product</w:t>
      </w:r>
      <w:r w:rsidR="00444EA7">
        <w:rPr>
          <w:rFonts w:ascii="Times New Roman" w:eastAsia="Times New Roman" w:hAnsi="Times New Roman" w:cs="Times New Roman"/>
          <w:sz w:val="24"/>
          <w:szCs w:val="24"/>
        </w:rPr>
        <w:t>,</w:t>
      </w:r>
      <w:r w:rsidR="00444EA7" w:rsidRPr="00444EA7">
        <w:t xml:space="preserve"> </w:t>
      </w:r>
      <w:r w:rsidR="00444EA7" w:rsidRPr="00444EA7">
        <w:rPr>
          <w:rFonts w:ascii="Times New Roman" w:eastAsia="Times New Roman" w:hAnsi="Times New Roman" w:cs="Times New Roman"/>
          <w:sz w:val="24"/>
          <w:szCs w:val="24"/>
        </w:rPr>
        <w:t>except that an additional separate data supplement must be submitted for any plan within the product for which a separate NQTL report is required to be submitted under § 15-144(c)(4)</w:t>
      </w:r>
      <w:r w:rsidRPr="00801CF6">
        <w:rPr>
          <w:rFonts w:ascii="Times New Roman" w:eastAsia="Times New Roman" w:hAnsi="Times New Roman" w:cs="Times New Roman"/>
          <w:sz w:val="24"/>
          <w:szCs w:val="24"/>
        </w:rPr>
        <w:t xml:space="preserve">.  </w:t>
      </w:r>
      <w:r w:rsidR="00444EA7">
        <w:rPr>
          <w:rFonts w:ascii="Times New Roman" w:eastAsia="Times New Roman" w:hAnsi="Times New Roman" w:cs="Times New Roman"/>
          <w:sz w:val="24"/>
          <w:szCs w:val="24"/>
        </w:rPr>
        <w:t>I</w:t>
      </w:r>
      <w:r w:rsidRPr="00801CF6">
        <w:rPr>
          <w:rFonts w:ascii="Times New Roman" w:eastAsia="Times New Roman" w:hAnsi="Times New Roman" w:cs="Times New Roman"/>
          <w:sz w:val="24"/>
          <w:szCs w:val="24"/>
        </w:rPr>
        <w:t xml:space="preserve">f, for any plan within a product, the processes, strategies, evidentiary standards, or other factors used in designing and applying the reported NQTLs to </w:t>
      </w:r>
      <w:r w:rsidR="00414D6E">
        <w:rPr>
          <w:rFonts w:ascii="Times New Roman" w:eastAsia="Times New Roman" w:hAnsi="Times New Roman" w:cs="Times New Roman"/>
          <w:sz w:val="24"/>
          <w:szCs w:val="24"/>
        </w:rPr>
        <w:t>MH</w:t>
      </w:r>
      <w:r w:rsidRPr="00801CF6">
        <w:rPr>
          <w:rFonts w:ascii="Times New Roman" w:eastAsia="Times New Roman" w:hAnsi="Times New Roman" w:cs="Times New Roman"/>
          <w:sz w:val="24"/>
          <w:szCs w:val="24"/>
        </w:rPr>
        <w:t xml:space="preserve"> benefits, </w:t>
      </w:r>
      <w:r w:rsidR="00414D6E">
        <w:rPr>
          <w:rFonts w:ascii="Times New Roman" w:eastAsia="Times New Roman" w:hAnsi="Times New Roman" w:cs="Times New Roman"/>
          <w:sz w:val="24"/>
          <w:szCs w:val="24"/>
        </w:rPr>
        <w:t>SUD</w:t>
      </w:r>
      <w:r w:rsidRPr="00801CF6">
        <w:rPr>
          <w:rFonts w:ascii="Times New Roman" w:eastAsia="Times New Roman" w:hAnsi="Times New Roman" w:cs="Times New Roman"/>
          <w:sz w:val="24"/>
          <w:szCs w:val="24"/>
        </w:rPr>
        <w:t xml:space="preserve"> benefits, or medical/surgical benefits are different, as written or in operation, from the other plans within the product, a separate analysis report </w:t>
      </w:r>
      <w:r w:rsidR="00414D6E">
        <w:rPr>
          <w:rFonts w:ascii="Times New Roman" w:eastAsia="Times New Roman" w:hAnsi="Times New Roman" w:cs="Times New Roman"/>
          <w:sz w:val="24"/>
          <w:szCs w:val="24"/>
        </w:rPr>
        <w:t>must</w:t>
      </w:r>
      <w:r w:rsidRPr="00801CF6">
        <w:rPr>
          <w:rFonts w:ascii="Times New Roman" w:eastAsia="Times New Roman" w:hAnsi="Times New Roman" w:cs="Times New Roman"/>
          <w:sz w:val="24"/>
          <w:szCs w:val="24"/>
        </w:rPr>
        <w:t xml:space="preserve"> be submitted for that plan.  In this case, the information described above </w:t>
      </w:r>
      <w:r w:rsidR="002A3588">
        <w:rPr>
          <w:rFonts w:ascii="Times New Roman" w:eastAsia="Times New Roman" w:hAnsi="Times New Roman" w:cs="Times New Roman"/>
          <w:sz w:val="24"/>
          <w:szCs w:val="24"/>
        </w:rPr>
        <w:t>is</w:t>
      </w:r>
      <w:r w:rsidRPr="00801CF6">
        <w:rPr>
          <w:rFonts w:ascii="Times New Roman" w:eastAsia="Times New Roman" w:hAnsi="Times New Roman" w:cs="Times New Roman"/>
          <w:sz w:val="24"/>
          <w:szCs w:val="24"/>
        </w:rPr>
        <w:t xml:space="preserve"> provided at the plan level instead of the product level.</w:t>
      </w:r>
      <w:r w:rsidR="001519AA">
        <w:rPr>
          <w:rFonts w:ascii="Times New Roman" w:eastAsia="Times New Roman" w:hAnsi="Times New Roman" w:cs="Times New Roman"/>
          <w:sz w:val="24"/>
          <w:szCs w:val="24"/>
        </w:rPr>
        <w:t xml:space="preserve"> </w:t>
      </w:r>
    </w:p>
    <w:p w14:paraId="4A371AD4" w14:textId="68557078" w:rsidR="00E252D9" w:rsidRPr="00801CF6" w:rsidRDefault="001519AA" w:rsidP="00E252D9">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Identification of covered services </w:t>
      </w:r>
      <w:r w:rsidR="002A3588">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included in the NQTL Analysis Report Template, although for some NQTLs it may be reasonable to attach a list to the comparative analyses</w:t>
      </w:r>
      <w:r w:rsidR="002F4C8C">
        <w:rPr>
          <w:rFonts w:ascii="Times New Roman" w:eastAsia="Times New Roman" w:hAnsi="Times New Roman" w:cs="Times New Roman"/>
          <w:sz w:val="24"/>
          <w:szCs w:val="24"/>
        </w:rPr>
        <w:t xml:space="preserve"> (for example, for prescription drugs)</w:t>
      </w:r>
      <w:r>
        <w:rPr>
          <w:rFonts w:ascii="Times New Roman" w:eastAsia="Times New Roman" w:hAnsi="Times New Roman" w:cs="Times New Roman"/>
          <w:sz w:val="24"/>
          <w:szCs w:val="24"/>
        </w:rPr>
        <w:t xml:space="preserve">. </w:t>
      </w:r>
    </w:p>
    <w:p w14:paraId="3F0D14AD" w14:textId="4141C6E9" w:rsidR="00E252D9" w:rsidRDefault="00E252D9" w:rsidP="00E252D9">
      <w:pPr>
        <w:pStyle w:val="Heading2"/>
        <w:ind w:left="0" w:firstLine="0"/>
        <w:rPr>
          <w:b/>
          <w:sz w:val="24"/>
          <w:szCs w:val="24"/>
        </w:rPr>
      </w:pPr>
      <w:bookmarkStart w:id="25" w:name="_Toc229123343"/>
      <w:bookmarkStart w:id="26" w:name="_Toc229123621"/>
      <w:r w:rsidRPr="00801CF6">
        <w:rPr>
          <w:b/>
          <w:sz w:val="24"/>
          <w:szCs w:val="24"/>
        </w:rPr>
        <w:t>Benefit Classifications</w:t>
      </w:r>
      <w:bookmarkEnd w:id="25"/>
      <w:bookmarkEnd w:id="26"/>
    </w:p>
    <w:p w14:paraId="1378B4CF" w14:textId="6D3826F3" w:rsidR="00B45ECE" w:rsidRPr="00B45ECE" w:rsidRDefault="00B45ECE" w:rsidP="00B45ECE">
      <w:pPr>
        <w:ind w:left="360"/>
        <w:rPr>
          <w:rFonts w:ascii="Times New Roman" w:hAnsi="Times New Roman" w:cs="Times New Roman"/>
          <w:sz w:val="24"/>
          <w:szCs w:val="24"/>
        </w:rPr>
      </w:pPr>
      <w:r>
        <w:rPr>
          <w:rFonts w:ascii="Times New Roman" w:hAnsi="Times New Roman" w:cs="Times New Roman"/>
          <w:sz w:val="24"/>
          <w:szCs w:val="24"/>
        </w:rPr>
        <w:t>In</w:t>
      </w:r>
      <w:r w:rsidRPr="00B45ECE">
        <w:rPr>
          <w:rFonts w:ascii="Times New Roman" w:hAnsi="Times New Roman" w:cs="Times New Roman"/>
          <w:sz w:val="24"/>
          <w:szCs w:val="24"/>
        </w:rPr>
        <w:t xml:space="preserve"> the NQTL Analysis Report Template, under Benefit Classifications: </w:t>
      </w:r>
    </w:p>
    <w:p w14:paraId="62DE9FAC" w14:textId="386CA6AF" w:rsidR="00206580" w:rsidRDefault="00E252D9" w:rsidP="006277DC">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lastRenderedPageBreak/>
        <w:t xml:space="preserve">List each covered service under the product/plan in the table provided.  Indicate whether the covered service is treated as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color w:val="000000"/>
          <w:sz w:val="24"/>
          <w:szCs w:val="24"/>
        </w:rPr>
        <w:t xml:space="preserve"> or MH/SUD, and identify which of the following </w:t>
      </w:r>
      <w:r w:rsidR="00DD2795">
        <w:rPr>
          <w:rFonts w:ascii="Times New Roman" w:eastAsia="Times New Roman" w:hAnsi="Times New Roman" w:cs="Times New Roman"/>
          <w:color w:val="000000"/>
          <w:sz w:val="24"/>
          <w:szCs w:val="24"/>
        </w:rPr>
        <w:t xml:space="preserve">benefit </w:t>
      </w:r>
      <w:r w:rsidRPr="00801CF6">
        <w:rPr>
          <w:rFonts w:ascii="Times New Roman" w:eastAsia="Times New Roman" w:hAnsi="Times New Roman" w:cs="Times New Roman"/>
          <w:color w:val="000000"/>
          <w:sz w:val="24"/>
          <w:szCs w:val="24"/>
        </w:rPr>
        <w:t xml:space="preserve">classifications or sub-classifications the covered service has been assigned to: </w:t>
      </w:r>
    </w:p>
    <w:p w14:paraId="7412985C" w14:textId="6DF1B2A0" w:rsidR="00962CFA" w:rsidRDefault="009734C4" w:rsidP="009734C4">
      <w:pPr>
        <w:pStyle w:val="ListParagraph"/>
        <w:pBdr>
          <w:top w:val="nil"/>
          <w:left w:val="nil"/>
          <w:bottom w:val="nil"/>
          <w:right w:val="nil"/>
          <w:between w:val="nil"/>
        </w:pBdr>
        <w:ind w:left="252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565E4F">
        <w:rPr>
          <w:rFonts w:ascii="Times New Roman" w:eastAsia="Times New Roman" w:hAnsi="Times New Roman" w:cs="Times New Roman"/>
          <w:color w:val="000000"/>
          <w:sz w:val="24"/>
          <w:szCs w:val="24"/>
        </w:rPr>
        <w:t>Inpatient, in</w:t>
      </w:r>
      <w:r w:rsidR="004C548D">
        <w:rPr>
          <w:rFonts w:ascii="Times New Roman" w:eastAsia="Times New Roman" w:hAnsi="Times New Roman" w:cs="Times New Roman"/>
          <w:color w:val="000000"/>
          <w:sz w:val="24"/>
          <w:szCs w:val="24"/>
        </w:rPr>
        <w:t>-</w:t>
      </w:r>
      <w:r w:rsidR="00565E4F">
        <w:rPr>
          <w:rFonts w:ascii="Times New Roman" w:eastAsia="Times New Roman" w:hAnsi="Times New Roman" w:cs="Times New Roman"/>
          <w:color w:val="000000"/>
          <w:sz w:val="24"/>
          <w:szCs w:val="24"/>
        </w:rPr>
        <w:t>n</w:t>
      </w:r>
      <w:r w:rsidR="00962CFA">
        <w:rPr>
          <w:rFonts w:ascii="Times New Roman" w:eastAsia="Times New Roman" w:hAnsi="Times New Roman" w:cs="Times New Roman"/>
          <w:color w:val="000000"/>
          <w:sz w:val="24"/>
          <w:szCs w:val="24"/>
        </w:rPr>
        <w:t>etwork</w:t>
      </w:r>
      <w:r>
        <w:rPr>
          <w:rFonts w:ascii="Times New Roman" w:eastAsia="Times New Roman" w:hAnsi="Times New Roman" w:cs="Times New Roman"/>
          <w:color w:val="000000"/>
          <w:sz w:val="24"/>
          <w:szCs w:val="24"/>
        </w:rPr>
        <w:t>;</w:t>
      </w:r>
    </w:p>
    <w:p w14:paraId="2F9EAFB3" w14:textId="16528120" w:rsidR="00206580" w:rsidRPr="009734C4" w:rsidRDefault="00565E4F" w:rsidP="009734C4">
      <w:pPr>
        <w:pStyle w:val="ListParagraph"/>
        <w:numPr>
          <w:ilvl w:val="0"/>
          <w:numId w:val="4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Inpatient, out</w:t>
      </w:r>
      <w:r w:rsidR="004C54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of</w:t>
      </w:r>
      <w:r w:rsidR="004C54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network</w:t>
      </w:r>
      <w:r w:rsidR="009734C4">
        <w:rPr>
          <w:rFonts w:ascii="Times New Roman" w:eastAsia="Times New Roman" w:hAnsi="Times New Roman" w:cs="Times New Roman"/>
          <w:color w:val="000000"/>
          <w:sz w:val="24"/>
          <w:szCs w:val="24"/>
        </w:rPr>
        <w:t>;</w:t>
      </w:r>
      <w:r w:rsidR="00E252D9" w:rsidRPr="009734C4">
        <w:rPr>
          <w:rFonts w:ascii="Times New Roman" w:eastAsia="Times New Roman" w:hAnsi="Times New Roman" w:cs="Times New Roman"/>
          <w:color w:val="000000"/>
          <w:sz w:val="24"/>
          <w:szCs w:val="24"/>
        </w:rPr>
        <w:t xml:space="preserve"> </w:t>
      </w:r>
    </w:p>
    <w:p w14:paraId="750FD5C7" w14:textId="469A1FEF" w:rsidR="00206580" w:rsidRPr="009734C4" w:rsidRDefault="00565E4F" w:rsidP="009734C4">
      <w:pPr>
        <w:pStyle w:val="ListParagraph"/>
        <w:numPr>
          <w:ilvl w:val="0"/>
          <w:numId w:val="4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Outpatient, i</w:t>
      </w:r>
      <w:r w:rsidR="009734C4">
        <w:rPr>
          <w:rFonts w:ascii="Times New Roman" w:eastAsia="Times New Roman" w:hAnsi="Times New Roman" w:cs="Times New Roman"/>
          <w:color w:val="000000"/>
          <w:sz w:val="24"/>
          <w:szCs w:val="24"/>
        </w:rPr>
        <w:t>n</w:t>
      </w:r>
      <w:r w:rsidR="004C54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w:t>
      </w:r>
      <w:r w:rsidR="00E252D9" w:rsidRPr="009734C4">
        <w:rPr>
          <w:rFonts w:ascii="Times New Roman" w:eastAsia="Times New Roman" w:hAnsi="Times New Roman" w:cs="Times New Roman"/>
          <w:color w:val="000000"/>
          <w:sz w:val="24"/>
          <w:szCs w:val="24"/>
        </w:rPr>
        <w:t xml:space="preserve">etwork </w:t>
      </w:r>
      <w:r>
        <w:rPr>
          <w:rFonts w:ascii="Times New Roman" w:eastAsia="Times New Roman" w:hAnsi="Times New Roman" w:cs="Times New Roman"/>
          <w:color w:val="000000"/>
          <w:sz w:val="24"/>
          <w:szCs w:val="24"/>
        </w:rPr>
        <w:t>(</w:t>
      </w:r>
      <w:r w:rsidR="004C548D">
        <w:rPr>
          <w:rFonts w:ascii="Times New Roman" w:eastAsia="Times New Roman" w:hAnsi="Times New Roman" w:cs="Times New Roman"/>
          <w:color w:val="000000"/>
          <w:sz w:val="24"/>
          <w:szCs w:val="24"/>
        </w:rPr>
        <w:t>OR: i</w:t>
      </w:r>
      <w:r w:rsidR="00E252D9" w:rsidRPr="009734C4">
        <w:rPr>
          <w:rFonts w:ascii="Times New Roman" w:eastAsia="Times New Roman" w:hAnsi="Times New Roman" w:cs="Times New Roman"/>
          <w:color w:val="000000"/>
          <w:sz w:val="24"/>
          <w:szCs w:val="24"/>
        </w:rPr>
        <w:t>n</w:t>
      </w:r>
      <w:r w:rsidR="004C548D">
        <w:rPr>
          <w:rFonts w:ascii="Times New Roman" w:eastAsia="Times New Roman" w:hAnsi="Times New Roman" w:cs="Times New Roman"/>
          <w:color w:val="000000"/>
          <w:sz w:val="24"/>
          <w:szCs w:val="24"/>
        </w:rPr>
        <w:t>-n</w:t>
      </w:r>
      <w:r w:rsidR="00E252D9" w:rsidRPr="009734C4">
        <w:rPr>
          <w:rFonts w:ascii="Times New Roman" w:eastAsia="Times New Roman" w:hAnsi="Times New Roman" w:cs="Times New Roman"/>
          <w:color w:val="000000"/>
          <w:sz w:val="24"/>
          <w:szCs w:val="24"/>
        </w:rPr>
        <w:t>etwork</w:t>
      </w:r>
      <w:r w:rsidR="004C548D">
        <w:rPr>
          <w:rFonts w:ascii="Times New Roman" w:eastAsia="Times New Roman" w:hAnsi="Times New Roman" w:cs="Times New Roman"/>
          <w:color w:val="000000"/>
          <w:sz w:val="24"/>
          <w:szCs w:val="24"/>
        </w:rPr>
        <w:t>, outpatient-office; i</w:t>
      </w:r>
      <w:r w:rsidR="00E252D9" w:rsidRPr="009734C4">
        <w:rPr>
          <w:rFonts w:ascii="Times New Roman" w:eastAsia="Times New Roman" w:hAnsi="Times New Roman" w:cs="Times New Roman"/>
          <w:color w:val="000000"/>
          <w:sz w:val="24"/>
          <w:szCs w:val="24"/>
        </w:rPr>
        <w:t>n</w:t>
      </w:r>
      <w:r w:rsidR="004C548D">
        <w:rPr>
          <w:rFonts w:ascii="Times New Roman" w:eastAsia="Times New Roman" w:hAnsi="Times New Roman" w:cs="Times New Roman"/>
          <w:color w:val="000000"/>
          <w:sz w:val="24"/>
          <w:szCs w:val="24"/>
        </w:rPr>
        <w:t>- network o</w:t>
      </w:r>
      <w:r w:rsidR="00E252D9" w:rsidRPr="009734C4">
        <w:rPr>
          <w:rFonts w:ascii="Times New Roman" w:eastAsia="Times New Roman" w:hAnsi="Times New Roman" w:cs="Times New Roman"/>
          <w:color w:val="000000"/>
          <w:sz w:val="24"/>
          <w:szCs w:val="24"/>
        </w:rPr>
        <w:t>utpatie</w:t>
      </w:r>
      <w:r w:rsidR="004C548D">
        <w:rPr>
          <w:rFonts w:ascii="Times New Roman" w:eastAsia="Times New Roman" w:hAnsi="Times New Roman" w:cs="Times New Roman"/>
          <w:color w:val="000000"/>
          <w:sz w:val="24"/>
          <w:szCs w:val="24"/>
        </w:rPr>
        <w:t>nt-all o</w:t>
      </w:r>
      <w:r w:rsidR="00962CFA" w:rsidRPr="009734C4">
        <w:rPr>
          <w:rFonts w:ascii="Times New Roman" w:eastAsia="Times New Roman" w:hAnsi="Times New Roman" w:cs="Times New Roman"/>
          <w:color w:val="000000"/>
          <w:sz w:val="24"/>
          <w:szCs w:val="24"/>
        </w:rPr>
        <w:t>ther)</w:t>
      </w:r>
      <w:r w:rsidR="009734C4">
        <w:rPr>
          <w:rFonts w:ascii="Times New Roman" w:eastAsia="Times New Roman" w:hAnsi="Times New Roman" w:cs="Times New Roman"/>
          <w:color w:val="000000"/>
          <w:sz w:val="24"/>
          <w:szCs w:val="24"/>
        </w:rPr>
        <w:t>;</w:t>
      </w:r>
    </w:p>
    <w:p w14:paraId="310DC74B" w14:textId="0636ED8B" w:rsidR="00206580" w:rsidRPr="009734C4" w:rsidRDefault="00565E4F" w:rsidP="009734C4">
      <w:pPr>
        <w:pStyle w:val="ListParagraph"/>
        <w:numPr>
          <w:ilvl w:val="0"/>
          <w:numId w:val="4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Outpatient, out</w:t>
      </w:r>
      <w:r w:rsidR="004C54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of</w:t>
      </w:r>
      <w:r w:rsidR="004C54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w:t>
      </w:r>
      <w:r w:rsidR="00E252D9" w:rsidRPr="009734C4">
        <w:rPr>
          <w:rFonts w:ascii="Times New Roman" w:eastAsia="Times New Roman" w:hAnsi="Times New Roman" w:cs="Times New Roman"/>
          <w:color w:val="000000"/>
          <w:sz w:val="24"/>
          <w:szCs w:val="24"/>
        </w:rPr>
        <w:t xml:space="preserve">etwork (OR: </w:t>
      </w:r>
      <w:r w:rsidR="004C548D">
        <w:rPr>
          <w:rFonts w:ascii="Times New Roman" w:eastAsia="Times New Roman" w:hAnsi="Times New Roman" w:cs="Times New Roman"/>
          <w:color w:val="000000"/>
          <w:sz w:val="24"/>
          <w:szCs w:val="24"/>
        </w:rPr>
        <w:t>o</w:t>
      </w:r>
      <w:r w:rsidR="00E252D9" w:rsidRPr="009734C4">
        <w:rPr>
          <w:rFonts w:ascii="Times New Roman" w:eastAsia="Times New Roman" w:hAnsi="Times New Roman" w:cs="Times New Roman"/>
          <w:color w:val="000000"/>
          <w:sz w:val="24"/>
          <w:szCs w:val="24"/>
        </w:rPr>
        <w:t>u</w:t>
      </w:r>
      <w:r w:rsidR="00962CFA" w:rsidRPr="009734C4">
        <w:rPr>
          <w:rFonts w:ascii="Times New Roman" w:eastAsia="Times New Roman" w:hAnsi="Times New Roman" w:cs="Times New Roman"/>
          <w:color w:val="000000"/>
          <w:sz w:val="24"/>
          <w:szCs w:val="24"/>
        </w:rPr>
        <w:t>t</w:t>
      </w:r>
      <w:r w:rsidR="004C548D">
        <w:rPr>
          <w:rFonts w:ascii="Times New Roman" w:eastAsia="Times New Roman" w:hAnsi="Times New Roman" w:cs="Times New Roman"/>
          <w:color w:val="000000"/>
          <w:sz w:val="24"/>
          <w:szCs w:val="24"/>
        </w:rPr>
        <w:t>-</w:t>
      </w:r>
      <w:r w:rsidR="00962CFA" w:rsidRPr="009734C4">
        <w:rPr>
          <w:rFonts w:ascii="Times New Roman" w:eastAsia="Times New Roman" w:hAnsi="Times New Roman" w:cs="Times New Roman"/>
          <w:color w:val="000000"/>
          <w:sz w:val="24"/>
          <w:szCs w:val="24"/>
        </w:rPr>
        <w:t>of</w:t>
      </w:r>
      <w:r w:rsidR="004C548D">
        <w:rPr>
          <w:rFonts w:ascii="Times New Roman" w:eastAsia="Times New Roman" w:hAnsi="Times New Roman" w:cs="Times New Roman"/>
          <w:color w:val="000000"/>
          <w:sz w:val="24"/>
          <w:szCs w:val="24"/>
        </w:rPr>
        <w:t>-n</w:t>
      </w:r>
      <w:r w:rsidR="00962CFA" w:rsidRPr="009734C4">
        <w:rPr>
          <w:rFonts w:ascii="Times New Roman" w:eastAsia="Times New Roman" w:hAnsi="Times New Roman" w:cs="Times New Roman"/>
          <w:color w:val="000000"/>
          <w:sz w:val="24"/>
          <w:szCs w:val="24"/>
        </w:rPr>
        <w:t>etwork</w:t>
      </w:r>
      <w:r w:rsidR="004C548D">
        <w:rPr>
          <w:rFonts w:ascii="Times New Roman" w:eastAsia="Times New Roman" w:hAnsi="Times New Roman" w:cs="Times New Roman"/>
          <w:color w:val="000000"/>
          <w:sz w:val="24"/>
          <w:szCs w:val="24"/>
        </w:rPr>
        <w:t>, outpatient-o</w:t>
      </w:r>
      <w:r w:rsidR="00962CFA" w:rsidRPr="009734C4">
        <w:rPr>
          <w:rFonts w:ascii="Times New Roman" w:eastAsia="Times New Roman" w:hAnsi="Times New Roman" w:cs="Times New Roman"/>
          <w:color w:val="000000"/>
          <w:sz w:val="24"/>
          <w:szCs w:val="24"/>
        </w:rPr>
        <w:t>ffice</w:t>
      </w:r>
      <w:r>
        <w:rPr>
          <w:rFonts w:ascii="Times New Roman" w:eastAsia="Times New Roman" w:hAnsi="Times New Roman" w:cs="Times New Roman"/>
          <w:color w:val="000000"/>
          <w:sz w:val="24"/>
          <w:szCs w:val="24"/>
        </w:rPr>
        <w:t>;</w:t>
      </w:r>
      <w:r w:rsidR="009734C4" w:rsidRPr="009734C4">
        <w:rPr>
          <w:rFonts w:ascii="Times New Roman" w:eastAsia="Times New Roman" w:hAnsi="Times New Roman" w:cs="Times New Roman"/>
          <w:color w:val="000000"/>
          <w:sz w:val="24"/>
          <w:szCs w:val="24"/>
        </w:rPr>
        <w:t xml:space="preserve"> </w:t>
      </w:r>
      <w:r w:rsidR="004C548D">
        <w:rPr>
          <w:rFonts w:ascii="Times New Roman" w:eastAsia="Times New Roman" w:hAnsi="Times New Roman" w:cs="Times New Roman"/>
          <w:color w:val="000000"/>
          <w:sz w:val="24"/>
          <w:szCs w:val="24"/>
        </w:rPr>
        <w:t>o</w:t>
      </w:r>
      <w:r w:rsidR="00E252D9" w:rsidRPr="009734C4">
        <w:rPr>
          <w:rFonts w:ascii="Times New Roman" w:eastAsia="Times New Roman" w:hAnsi="Times New Roman" w:cs="Times New Roman"/>
          <w:color w:val="000000"/>
          <w:sz w:val="24"/>
          <w:szCs w:val="24"/>
        </w:rPr>
        <w:t>ut</w:t>
      </w:r>
      <w:r w:rsidR="004C548D">
        <w:rPr>
          <w:rFonts w:ascii="Times New Roman" w:eastAsia="Times New Roman" w:hAnsi="Times New Roman" w:cs="Times New Roman"/>
          <w:color w:val="000000"/>
          <w:sz w:val="24"/>
          <w:szCs w:val="24"/>
        </w:rPr>
        <w:t>-</w:t>
      </w:r>
      <w:r w:rsidR="00E252D9" w:rsidRPr="009734C4">
        <w:rPr>
          <w:rFonts w:ascii="Times New Roman" w:eastAsia="Times New Roman" w:hAnsi="Times New Roman" w:cs="Times New Roman"/>
          <w:color w:val="000000"/>
          <w:sz w:val="24"/>
          <w:szCs w:val="24"/>
        </w:rPr>
        <w:t>of</w:t>
      </w:r>
      <w:r w:rsidR="004C548D">
        <w:rPr>
          <w:rFonts w:ascii="Times New Roman" w:eastAsia="Times New Roman" w:hAnsi="Times New Roman" w:cs="Times New Roman"/>
          <w:color w:val="000000"/>
          <w:sz w:val="24"/>
          <w:szCs w:val="24"/>
        </w:rPr>
        <w:t>-n</w:t>
      </w:r>
      <w:r w:rsidR="00962CFA" w:rsidRPr="009734C4">
        <w:rPr>
          <w:rFonts w:ascii="Times New Roman" w:eastAsia="Times New Roman" w:hAnsi="Times New Roman" w:cs="Times New Roman"/>
          <w:color w:val="000000"/>
          <w:sz w:val="24"/>
          <w:szCs w:val="24"/>
        </w:rPr>
        <w:t>etwork</w:t>
      </w:r>
      <w:r w:rsidR="004C548D">
        <w:rPr>
          <w:rFonts w:ascii="Times New Roman" w:eastAsia="Times New Roman" w:hAnsi="Times New Roman" w:cs="Times New Roman"/>
          <w:color w:val="000000"/>
          <w:sz w:val="24"/>
          <w:szCs w:val="24"/>
        </w:rPr>
        <w:t>, outpatient-all o</w:t>
      </w:r>
      <w:r w:rsidR="00962CFA" w:rsidRPr="009734C4">
        <w:rPr>
          <w:rFonts w:ascii="Times New Roman" w:eastAsia="Times New Roman" w:hAnsi="Times New Roman" w:cs="Times New Roman"/>
          <w:color w:val="000000"/>
          <w:sz w:val="24"/>
          <w:szCs w:val="24"/>
        </w:rPr>
        <w:t>ther)</w:t>
      </w:r>
      <w:r w:rsidR="009734C4">
        <w:rPr>
          <w:rFonts w:ascii="Times New Roman" w:eastAsia="Times New Roman" w:hAnsi="Times New Roman" w:cs="Times New Roman"/>
          <w:color w:val="000000"/>
          <w:sz w:val="24"/>
          <w:szCs w:val="24"/>
        </w:rPr>
        <w:t>;</w:t>
      </w:r>
    </w:p>
    <w:p w14:paraId="1029554A" w14:textId="380E6929" w:rsidR="00962CFA" w:rsidRPr="009734C4" w:rsidRDefault="004C548D" w:rsidP="009734C4">
      <w:pPr>
        <w:pStyle w:val="ListParagraph"/>
        <w:numPr>
          <w:ilvl w:val="0"/>
          <w:numId w:val="4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Emergency c</w:t>
      </w:r>
      <w:r w:rsidR="00E264B6">
        <w:rPr>
          <w:rFonts w:ascii="Times New Roman" w:eastAsia="Times New Roman" w:hAnsi="Times New Roman" w:cs="Times New Roman"/>
          <w:color w:val="000000"/>
          <w:sz w:val="24"/>
          <w:szCs w:val="24"/>
        </w:rPr>
        <w:t xml:space="preserve">are; </w:t>
      </w:r>
      <w:r w:rsidR="009734C4">
        <w:rPr>
          <w:rFonts w:ascii="Times New Roman" w:eastAsia="Times New Roman" w:hAnsi="Times New Roman" w:cs="Times New Roman"/>
          <w:color w:val="000000"/>
          <w:sz w:val="24"/>
          <w:szCs w:val="24"/>
        </w:rPr>
        <w:t>or</w:t>
      </w:r>
    </w:p>
    <w:p w14:paraId="73DF0CA2" w14:textId="64E476B6" w:rsidR="00E252D9" w:rsidRPr="009734C4" w:rsidRDefault="00E264B6" w:rsidP="009734C4">
      <w:pPr>
        <w:pStyle w:val="ListParagraph"/>
        <w:numPr>
          <w:ilvl w:val="0"/>
          <w:numId w:val="41"/>
        </w:numPr>
        <w:pBdr>
          <w:top w:val="nil"/>
          <w:left w:val="nil"/>
          <w:bottom w:val="nil"/>
          <w:right w:val="nil"/>
          <w:between w:val="nil"/>
        </w:pBdr>
        <w:rPr>
          <w:rFonts w:ascii="Times New Roman" w:eastAsia="Times New Roman" w:hAnsi="Times New Roman" w:cs="Times New Roman"/>
          <w:color w:val="000000"/>
          <w:sz w:val="24"/>
          <w:szCs w:val="24"/>
        </w:rPr>
      </w:pPr>
      <w:r w:rsidRPr="009734C4">
        <w:rPr>
          <w:rFonts w:ascii="Times New Roman" w:eastAsia="Times New Roman" w:hAnsi="Times New Roman" w:cs="Times New Roman"/>
          <w:color w:val="000000"/>
          <w:sz w:val="24"/>
          <w:szCs w:val="24"/>
        </w:rPr>
        <w:t>Prescription</w:t>
      </w:r>
      <w:r>
        <w:rPr>
          <w:rFonts w:ascii="Times New Roman" w:eastAsia="Times New Roman" w:hAnsi="Times New Roman" w:cs="Times New Roman"/>
          <w:color w:val="000000"/>
          <w:sz w:val="24"/>
          <w:szCs w:val="24"/>
        </w:rPr>
        <w:t xml:space="preserve"> drug</w:t>
      </w:r>
      <w:r w:rsidR="00DD2795">
        <w:rPr>
          <w:rFonts w:ascii="Times New Roman" w:eastAsia="Times New Roman" w:hAnsi="Times New Roman" w:cs="Times New Roman"/>
          <w:color w:val="000000"/>
          <w:sz w:val="24"/>
          <w:szCs w:val="24"/>
        </w:rPr>
        <w:t>.</w:t>
      </w:r>
    </w:p>
    <w:p w14:paraId="4EF4903F" w14:textId="7FA2A8C5" w:rsidR="00E252D9" w:rsidRPr="00801CF6" w:rsidRDefault="00E252D9" w:rsidP="00E252D9">
      <w:pPr>
        <w:pBdr>
          <w:top w:val="nil"/>
          <w:left w:val="nil"/>
          <w:bottom w:val="nil"/>
          <w:right w:val="nil"/>
          <w:between w:val="nil"/>
        </w:pBdr>
        <w:ind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Do not list non-medical dental or vision benefits in the list of covered </w:t>
      </w:r>
      <w:r w:rsidR="00ED1D8A">
        <w:rPr>
          <w:rFonts w:ascii="Times New Roman" w:eastAsia="Times New Roman" w:hAnsi="Times New Roman" w:cs="Times New Roman"/>
          <w:color w:val="000000"/>
          <w:sz w:val="24"/>
          <w:szCs w:val="24"/>
        </w:rPr>
        <w:t>services, and do not include tho</w:t>
      </w:r>
      <w:r w:rsidRPr="00801CF6">
        <w:rPr>
          <w:rFonts w:ascii="Times New Roman" w:eastAsia="Times New Roman" w:hAnsi="Times New Roman" w:cs="Times New Roman"/>
          <w:color w:val="000000"/>
          <w:sz w:val="24"/>
          <w:szCs w:val="24"/>
        </w:rPr>
        <w:t xml:space="preserve">se benefits in the NQTL analyses.  Dental care that is customarily covered under medical policies, </w:t>
      </w:r>
      <w:r w:rsidR="00962CFA">
        <w:rPr>
          <w:rFonts w:ascii="Times New Roman" w:eastAsia="Times New Roman" w:hAnsi="Times New Roman" w:cs="Times New Roman"/>
          <w:color w:val="000000"/>
          <w:sz w:val="24"/>
          <w:szCs w:val="24"/>
        </w:rPr>
        <w:t>for example,</w:t>
      </w:r>
      <w:r w:rsidRPr="00801CF6">
        <w:rPr>
          <w:rFonts w:ascii="Times New Roman" w:eastAsia="Times New Roman" w:hAnsi="Times New Roman" w:cs="Times New Roman"/>
          <w:color w:val="000000"/>
          <w:sz w:val="24"/>
          <w:szCs w:val="24"/>
        </w:rPr>
        <w:t xml:space="preserve"> injury to sound natural teeth or treatment for cleft lip/cleft palate, </w:t>
      </w:r>
      <w:r w:rsidR="002A3588">
        <w:rPr>
          <w:rFonts w:ascii="Times New Roman" w:eastAsia="Times New Roman" w:hAnsi="Times New Roman" w:cs="Times New Roman"/>
          <w:color w:val="000000"/>
          <w:sz w:val="24"/>
          <w:szCs w:val="24"/>
        </w:rPr>
        <w:t>is</w:t>
      </w:r>
      <w:r w:rsidRPr="00801CF6">
        <w:rPr>
          <w:rFonts w:ascii="Times New Roman" w:eastAsia="Times New Roman" w:hAnsi="Times New Roman" w:cs="Times New Roman"/>
          <w:color w:val="000000"/>
          <w:sz w:val="24"/>
          <w:szCs w:val="24"/>
        </w:rPr>
        <w:t xml:space="preserve"> included as a medical benefit. </w:t>
      </w:r>
    </w:p>
    <w:p w14:paraId="174EA239" w14:textId="630A7436" w:rsidR="00E252D9" w:rsidRPr="00801CF6" w:rsidRDefault="00E252D9" w:rsidP="00E252D9">
      <w:pPr>
        <w:pBdr>
          <w:top w:val="nil"/>
          <w:left w:val="nil"/>
          <w:bottom w:val="nil"/>
          <w:right w:val="nil"/>
          <w:between w:val="nil"/>
        </w:pBdr>
        <w:ind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For the purposes of the NQTL analyses for each product/plan, a carrier may elect to use the outpatient benefit classifications, or divide benefits furnished on an outpatient basis into the two sub-classifications described in 45 CFR § 146.136(c)(3)(iii)(C) for “office visits” and “all other outpatient items and services.”  The election to use either the outpatient classifications or the outpatient sub-classifications </w:t>
      </w:r>
      <w:r w:rsidR="00ED1D8A">
        <w:rPr>
          <w:rFonts w:ascii="Times New Roman" w:eastAsia="Times New Roman" w:hAnsi="Times New Roman" w:cs="Times New Roman"/>
          <w:color w:val="000000"/>
          <w:sz w:val="24"/>
          <w:szCs w:val="24"/>
        </w:rPr>
        <w:t>is</w:t>
      </w:r>
      <w:r w:rsidRPr="00801CF6">
        <w:rPr>
          <w:rFonts w:ascii="Times New Roman" w:eastAsia="Times New Roman" w:hAnsi="Times New Roman" w:cs="Times New Roman"/>
          <w:color w:val="000000"/>
          <w:sz w:val="24"/>
          <w:szCs w:val="24"/>
        </w:rPr>
        <w:t xml:space="preserve"> made at the product/plan level, and may not vary for different NQTLs under the same product/plan.</w:t>
      </w:r>
    </w:p>
    <w:p w14:paraId="3EB2164F" w14:textId="6960862B" w:rsidR="00E252D9" w:rsidRPr="00645195" w:rsidRDefault="00E252D9" w:rsidP="00645195">
      <w:pPr>
        <w:pStyle w:val="ListParagraph"/>
        <w:numPr>
          <w:ilvl w:val="0"/>
          <w:numId w:val="12"/>
        </w:numPr>
        <w:spacing w:line="276" w:lineRule="auto"/>
        <w:rPr>
          <w:rFonts w:ascii="Times New Roman" w:eastAsia="Times New Roman" w:hAnsi="Times New Roman" w:cs="Times New Roman"/>
          <w:color w:val="000000"/>
          <w:sz w:val="24"/>
          <w:szCs w:val="24"/>
        </w:rPr>
      </w:pPr>
      <w:r w:rsidRPr="00645195">
        <w:rPr>
          <w:rFonts w:ascii="Times New Roman" w:hAnsi="Times New Roman" w:cs="Times New Roman"/>
          <w:sz w:val="24"/>
          <w:szCs w:val="24"/>
        </w:rPr>
        <w:t xml:space="preserve">Explain the methodology used to assign </w:t>
      </w:r>
      <w:r w:rsidR="00FA3D0B" w:rsidRPr="00645195">
        <w:rPr>
          <w:rFonts w:ascii="Times New Roman" w:hAnsi="Times New Roman" w:cs="Times New Roman"/>
          <w:sz w:val="24"/>
          <w:szCs w:val="24"/>
        </w:rPr>
        <w:t>medical/surgical</w:t>
      </w:r>
      <w:r w:rsidRPr="00645195">
        <w:rPr>
          <w:rFonts w:ascii="Times New Roman" w:hAnsi="Times New Roman" w:cs="Times New Roman"/>
          <w:sz w:val="24"/>
          <w:szCs w:val="24"/>
        </w:rPr>
        <w:t xml:space="preserve"> and MH/SUD benefits to each classification and</w:t>
      </w:r>
      <w:r w:rsidR="00962CFA" w:rsidRPr="00645195">
        <w:rPr>
          <w:rFonts w:ascii="Times New Roman" w:hAnsi="Times New Roman" w:cs="Times New Roman"/>
          <w:sz w:val="24"/>
          <w:szCs w:val="24"/>
        </w:rPr>
        <w:t xml:space="preserve">/or sub-classification.  Note: </w:t>
      </w:r>
      <w:r w:rsidRPr="00645195">
        <w:rPr>
          <w:rFonts w:ascii="Times New Roman" w:hAnsi="Times New Roman" w:cs="Times New Roman"/>
          <w:sz w:val="24"/>
          <w:szCs w:val="24"/>
        </w:rPr>
        <w:t>Classification of covered services must remain consistent across NQTL analyses</w:t>
      </w:r>
      <w:r w:rsidR="00410516" w:rsidRPr="00645195">
        <w:rPr>
          <w:rFonts w:ascii="Times New Roman" w:hAnsi="Times New Roman" w:cs="Times New Roman"/>
          <w:sz w:val="24"/>
          <w:szCs w:val="24"/>
        </w:rPr>
        <w:t xml:space="preserve"> within the same product/plan. </w:t>
      </w:r>
      <w:r w:rsidRPr="00645195">
        <w:rPr>
          <w:rFonts w:ascii="Times New Roman" w:hAnsi="Times New Roman" w:cs="Times New Roman"/>
          <w:sz w:val="24"/>
          <w:szCs w:val="24"/>
        </w:rPr>
        <w:t xml:space="preserve">In determining the classification in which a particular benefit belongs, the same standards must be applied to </w:t>
      </w:r>
      <w:r w:rsidR="00FA3D0B" w:rsidRPr="00645195">
        <w:rPr>
          <w:rFonts w:ascii="Times New Roman" w:hAnsi="Times New Roman" w:cs="Times New Roman"/>
          <w:sz w:val="24"/>
          <w:szCs w:val="24"/>
        </w:rPr>
        <w:t>medical/surgical</w:t>
      </w:r>
      <w:r w:rsidRPr="00645195">
        <w:rPr>
          <w:rFonts w:ascii="Times New Roman" w:hAnsi="Times New Roman" w:cs="Times New Roman"/>
          <w:sz w:val="24"/>
          <w:szCs w:val="24"/>
        </w:rPr>
        <w:t xml:space="preserve"> benefits and to MH/SUD benefits. Intermediate MH/SUD benefits (such as residential treatment, partial hospitalization, and intensive outpatient treatment) must be assigned to the classifications in the s</w:t>
      </w:r>
      <w:r w:rsidRPr="00645195">
        <w:rPr>
          <w:rFonts w:ascii="Times New Roman" w:eastAsia="Times New Roman" w:hAnsi="Times New Roman" w:cs="Times New Roman"/>
          <w:color w:val="000000"/>
          <w:sz w:val="24"/>
          <w:szCs w:val="24"/>
        </w:rPr>
        <w:t>ame way that intermediate medical/surgical benefits are assigned to these classifications. For example, if a product/plan classifies care in skilled nursing facilities and rehabilitation hospitals for medical/surgical benefits as inpatient benefits, it must classify covered care in residential treatment facilities for MH/SUD benefits as inpatient benefits. If a product/plan treats home health care as an outpatient benefit, then any covered intensive outpatient MH/SUD services and partial hospitalization must be considered outpatient benefits as well</w:t>
      </w:r>
      <w:r w:rsidR="00A741C5" w:rsidRPr="00645195">
        <w:rPr>
          <w:rFonts w:ascii="Times New Roman" w:eastAsia="Times New Roman" w:hAnsi="Times New Roman" w:cs="Times New Roman"/>
          <w:color w:val="000000"/>
          <w:sz w:val="24"/>
          <w:szCs w:val="24"/>
        </w:rPr>
        <w:t>.</w:t>
      </w:r>
    </w:p>
    <w:p w14:paraId="622717B5" w14:textId="77777777" w:rsidR="006277DC" w:rsidRPr="00801CF6" w:rsidRDefault="006277DC" w:rsidP="006277DC">
      <w:pPr>
        <w:pBdr>
          <w:top w:val="nil"/>
          <w:left w:val="nil"/>
          <w:bottom w:val="nil"/>
          <w:right w:val="nil"/>
          <w:between w:val="nil"/>
        </w:pBdr>
        <w:ind w:firstLine="0"/>
        <w:rPr>
          <w:rFonts w:ascii="Times New Roman" w:eastAsia="Times New Roman" w:hAnsi="Times New Roman" w:cs="Times New Roman"/>
          <w:color w:val="000000"/>
          <w:sz w:val="24"/>
          <w:szCs w:val="24"/>
        </w:rPr>
      </w:pPr>
    </w:p>
    <w:p w14:paraId="6DD10540" w14:textId="7A9F78AF" w:rsidR="00AA2452" w:rsidRPr="00801CF6" w:rsidRDefault="00DC3CB9" w:rsidP="004F0CD8">
      <w:pPr>
        <w:pStyle w:val="Heading1"/>
        <w:jc w:val="center"/>
      </w:pPr>
      <w:bookmarkStart w:id="27" w:name="_Toc229123344"/>
      <w:bookmarkStart w:id="28" w:name="_Toc229123622"/>
      <w:r>
        <w:lastRenderedPageBreak/>
        <w:t xml:space="preserve">UNDERSTANDING THE </w:t>
      </w:r>
      <w:r w:rsidR="004E6C6F">
        <w:t>7</w:t>
      </w:r>
      <w:r w:rsidR="00B72F67">
        <w:t xml:space="preserve"> STEPS FOR ALL </w:t>
      </w:r>
      <w:r w:rsidR="00F623EF" w:rsidRPr="00801CF6">
        <w:t>NQTLs</w:t>
      </w:r>
      <w:bookmarkEnd w:id="27"/>
      <w:bookmarkEnd w:id="28"/>
    </w:p>
    <w:p w14:paraId="762B318D" w14:textId="7521CF7B" w:rsidR="00B72F67" w:rsidRPr="00CA4833" w:rsidRDefault="007E1BDD" w:rsidP="00CA4833">
      <w:pPr>
        <w:pStyle w:val="Heading2"/>
        <w:ind w:left="0" w:firstLine="0"/>
        <w:rPr>
          <w:sz w:val="24"/>
          <w:szCs w:val="24"/>
          <w:u w:val="none"/>
        </w:rPr>
      </w:pPr>
      <w:r>
        <w:rPr>
          <w:sz w:val="24"/>
          <w:szCs w:val="24"/>
          <w:u w:val="none"/>
        </w:rPr>
        <w:t>For each NQTL</w:t>
      </w:r>
      <w:r w:rsidR="002052F6">
        <w:rPr>
          <w:sz w:val="24"/>
          <w:szCs w:val="24"/>
          <w:u w:val="none"/>
        </w:rPr>
        <w:t xml:space="preserve"> for the</w:t>
      </w:r>
      <w:r w:rsidR="00CA4833">
        <w:rPr>
          <w:sz w:val="24"/>
          <w:szCs w:val="24"/>
          <w:u w:val="none"/>
        </w:rPr>
        <w:t xml:space="preserve"> 2026</w:t>
      </w:r>
      <w:r w:rsidR="002052F6">
        <w:rPr>
          <w:sz w:val="24"/>
          <w:szCs w:val="24"/>
          <w:u w:val="none"/>
        </w:rPr>
        <w:t xml:space="preserve"> reporting period</w:t>
      </w:r>
      <w:r w:rsidR="00CA4833">
        <w:rPr>
          <w:sz w:val="24"/>
          <w:szCs w:val="24"/>
          <w:u w:val="none"/>
        </w:rPr>
        <w:t xml:space="preserve"> (calendar year 2025)</w:t>
      </w:r>
      <w:r>
        <w:rPr>
          <w:sz w:val="24"/>
          <w:szCs w:val="24"/>
          <w:u w:val="none"/>
        </w:rPr>
        <w:t>,</w:t>
      </w:r>
      <w:r w:rsidR="002052F6">
        <w:rPr>
          <w:sz w:val="24"/>
          <w:szCs w:val="24"/>
          <w:u w:val="none"/>
        </w:rPr>
        <w:t xml:space="preserve"> follow the 7</w:t>
      </w:r>
      <w:r w:rsidR="006B3EBB">
        <w:rPr>
          <w:sz w:val="24"/>
          <w:szCs w:val="24"/>
          <w:u w:val="none"/>
        </w:rPr>
        <w:t>-</w:t>
      </w:r>
      <w:r w:rsidR="002052F6">
        <w:rPr>
          <w:sz w:val="24"/>
          <w:szCs w:val="24"/>
          <w:u w:val="none"/>
        </w:rPr>
        <w:t>step</w:t>
      </w:r>
      <w:r w:rsidR="00CA4833">
        <w:rPr>
          <w:sz w:val="24"/>
          <w:szCs w:val="24"/>
          <w:u w:val="none"/>
        </w:rPr>
        <w:t xml:space="preserve"> analysi</w:t>
      </w:r>
      <w:r w:rsidR="002052F6">
        <w:rPr>
          <w:sz w:val="24"/>
          <w:szCs w:val="24"/>
          <w:u w:val="none"/>
        </w:rPr>
        <w:t xml:space="preserve">s </w:t>
      </w:r>
      <w:r w:rsidR="00CA4833">
        <w:rPr>
          <w:sz w:val="24"/>
          <w:szCs w:val="24"/>
          <w:u w:val="none"/>
        </w:rPr>
        <w:t>using the NQTL Analysis Report Template</w:t>
      </w:r>
      <w:r w:rsidR="002052F6">
        <w:rPr>
          <w:sz w:val="24"/>
          <w:szCs w:val="24"/>
          <w:u w:val="none"/>
        </w:rPr>
        <w:t xml:space="preserve">. </w:t>
      </w:r>
      <w:r>
        <w:rPr>
          <w:sz w:val="24"/>
          <w:szCs w:val="24"/>
          <w:u w:val="none"/>
        </w:rPr>
        <w:t xml:space="preserve"> </w:t>
      </w:r>
    </w:p>
    <w:p w14:paraId="510EB7FA" w14:textId="52B14830" w:rsidR="00E252D9" w:rsidRPr="00B72F67" w:rsidRDefault="00E252D9" w:rsidP="002C4CAC">
      <w:pPr>
        <w:pStyle w:val="Heading2"/>
        <w:ind w:left="0" w:firstLine="0"/>
        <w:jc w:val="left"/>
        <w:rPr>
          <w:sz w:val="24"/>
          <w:szCs w:val="24"/>
        </w:rPr>
      </w:pPr>
      <w:bookmarkStart w:id="29" w:name="_Toc229123345"/>
      <w:bookmarkStart w:id="30" w:name="_Toc229123623"/>
      <w:r w:rsidRPr="00B72F67">
        <w:rPr>
          <w:b/>
          <w:sz w:val="24"/>
          <w:szCs w:val="24"/>
        </w:rPr>
        <w:t>Step 1</w:t>
      </w:r>
      <w:r w:rsidR="00B72F67" w:rsidRPr="00B72F67">
        <w:rPr>
          <w:b/>
          <w:sz w:val="24"/>
          <w:szCs w:val="24"/>
        </w:rPr>
        <w:t>:</w:t>
      </w:r>
      <w:r w:rsidRPr="00B72F67">
        <w:rPr>
          <w:b/>
          <w:sz w:val="24"/>
          <w:szCs w:val="24"/>
        </w:rPr>
        <w:t xml:space="preserve"> NQTL Description, Application</w:t>
      </w:r>
      <w:r w:rsidR="00A741C5" w:rsidRPr="00B72F67">
        <w:rPr>
          <w:b/>
          <w:sz w:val="24"/>
          <w:szCs w:val="24"/>
        </w:rPr>
        <w:t>,</w:t>
      </w:r>
      <w:r w:rsidRPr="00B72F67">
        <w:rPr>
          <w:b/>
          <w:sz w:val="24"/>
          <w:szCs w:val="24"/>
        </w:rPr>
        <w:t xml:space="preserve"> and Methodology</w:t>
      </w:r>
      <w:bookmarkEnd w:id="29"/>
      <w:bookmarkEnd w:id="30"/>
    </w:p>
    <w:p w14:paraId="3CB4E583" w14:textId="77777777" w:rsidR="00E252D9" w:rsidRPr="00801CF6" w:rsidRDefault="00E252D9" w:rsidP="00E252D9">
      <w:pPr>
        <w:spacing w:after="0" w:line="240" w:lineRule="auto"/>
        <w:ind w:left="0" w:firstLine="0"/>
        <w:rPr>
          <w:rFonts w:ascii="Times New Roman" w:eastAsia="Times New Roman" w:hAnsi="Times New Roman" w:cs="Times New Roman"/>
          <w:sz w:val="24"/>
          <w:szCs w:val="24"/>
          <w:u w:val="single"/>
        </w:rPr>
      </w:pPr>
    </w:p>
    <w:p w14:paraId="02D59774" w14:textId="0FC07B0D" w:rsidR="00E252D9" w:rsidRPr="00801CF6" w:rsidRDefault="00E252D9" w:rsidP="006277DC">
      <w:pPr>
        <w:numPr>
          <w:ilvl w:val="0"/>
          <w:numId w:val="10"/>
        </w:num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Provide a description</w:t>
      </w:r>
      <w:r w:rsidR="00894C90">
        <w:rPr>
          <w:rFonts w:ascii="Times New Roman" w:eastAsia="Times New Roman" w:hAnsi="Times New Roman" w:cs="Times New Roman"/>
          <w:color w:val="000000"/>
          <w:sz w:val="24"/>
          <w:szCs w:val="24"/>
        </w:rPr>
        <w:t xml:space="preserve"> and definition</w:t>
      </w:r>
      <w:r w:rsidRPr="00801CF6">
        <w:rPr>
          <w:rFonts w:ascii="Times New Roman" w:eastAsia="Times New Roman" w:hAnsi="Times New Roman" w:cs="Times New Roman"/>
          <w:color w:val="000000"/>
          <w:sz w:val="24"/>
          <w:szCs w:val="24"/>
        </w:rPr>
        <w:t xml:space="preserve"> of the plan’s applicable NQTLs</w:t>
      </w:r>
      <w:r w:rsidRPr="00801CF6">
        <w:rPr>
          <w:rFonts w:ascii="Times New Roman" w:eastAsia="Calibri" w:hAnsi="Times New Roman" w:cs="Times New Roman"/>
          <w:color w:val="000000"/>
          <w:sz w:val="24"/>
          <w:szCs w:val="24"/>
        </w:rPr>
        <w:t xml:space="preserve"> </w:t>
      </w:r>
      <w:r w:rsidRPr="00801CF6">
        <w:rPr>
          <w:rFonts w:ascii="Times New Roman" w:eastAsia="Times New Roman" w:hAnsi="Times New Roman" w:cs="Times New Roman"/>
          <w:color w:val="000000"/>
          <w:sz w:val="24"/>
          <w:szCs w:val="24"/>
        </w:rPr>
        <w:t xml:space="preserve">as applied to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color w:val="000000"/>
          <w:sz w:val="24"/>
          <w:szCs w:val="24"/>
        </w:rPr>
        <w:t xml:space="preserve"> or MH/SUD benefits</w:t>
      </w:r>
      <w:r w:rsidR="0028396C">
        <w:rPr>
          <w:rFonts w:ascii="Times New Roman" w:eastAsia="Times New Roman" w:hAnsi="Times New Roman" w:cs="Times New Roman"/>
          <w:color w:val="000000"/>
          <w:sz w:val="24"/>
          <w:szCs w:val="24"/>
        </w:rPr>
        <w:t xml:space="preserve">. </w:t>
      </w:r>
    </w:p>
    <w:p w14:paraId="571FEDD8" w14:textId="77777777" w:rsidR="00E252D9" w:rsidRPr="00801CF6" w:rsidRDefault="00E252D9" w:rsidP="00E252D9">
      <w:pPr>
        <w:pBdr>
          <w:top w:val="nil"/>
          <w:left w:val="nil"/>
          <w:bottom w:val="nil"/>
          <w:right w:val="nil"/>
          <w:between w:val="nil"/>
        </w:pBdr>
        <w:spacing w:after="0" w:line="240" w:lineRule="auto"/>
        <w:ind w:firstLine="0"/>
        <w:rPr>
          <w:rFonts w:ascii="Times New Roman" w:eastAsia="Times New Roman" w:hAnsi="Times New Roman" w:cs="Times New Roman"/>
          <w:color w:val="000000"/>
          <w:sz w:val="24"/>
          <w:szCs w:val="24"/>
        </w:rPr>
      </w:pPr>
    </w:p>
    <w:p w14:paraId="7EF453DB" w14:textId="004C7401" w:rsidR="00E252D9" w:rsidRPr="00801CF6" w:rsidRDefault="00E252D9" w:rsidP="00E252D9">
      <w:pPr>
        <w:ind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Describe the specific NQTL plan language and procedures, as applied to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sz w:val="24"/>
          <w:szCs w:val="24"/>
        </w:rPr>
        <w:t xml:space="preserve"> benefits and as applied to MH/SUD benefits, including identification of associated triggers, timelines, forms, and requirements.</w:t>
      </w:r>
    </w:p>
    <w:p w14:paraId="7E41E7F9" w14:textId="07C58005" w:rsidR="00E252D9" w:rsidRPr="00801CF6" w:rsidRDefault="00E252D9" w:rsidP="00E252D9">
      <w:pPr>
        <w:ind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Provide cross references to plan documents that contain language related to </w:t>
      </w:r>
      <w:r w:rsidR="005E5EF8">
        <w:rPr>
          <w:rFonts w:ascii="Times New Roman" w:eastAsia="Times New Roman" w:hAnsi="Times New Roman" w:cs="Times New Roman"/>
          <w:sz w:val="24"/>
          <w:szCs w:val="24"/>
        </w:rPr>
        <w:t xml:space="preserve">the </w:t>
      </w:r>
      <w:r w:rsidRPr="00801CF6">
        <w:rPr>
          <w:rFonts w:ascii="Times New Roman" w:eastAsia="Times New Roman" w:hAnsi="Times New Roman" w:cs="Times New Roman"/>
          <w:sz w:val="24"/>
          <w:szCs w:val="24"/>
        </w:rPr>
        <w:t>application of the NQTLs (i.e., all member documents, posted medical policies, internal documents</w:t>
      </w:r>
      <w:r w:rsidR="005E5EF8">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and applicable provider manual references which are pertinent to providing notice of and information regarding the NQTL requirements).  Note that for the purposes of Step 1(a), the term “plan documents” refers only to the documents describing the NQTL itself, and does not include documents reflecting analyses conducted or results from such analyses related to the comparability and stringency of an NQTL for MH/SUD benefits as compared to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sz w:val="24"/>
          <w:szCs w:val="24"/>
        </w:rPr>
        <w:t xml:space="preserve"> benefits.</w:t>
      </w:r>
    </w:p>
    <w:p w14:paraId="416D3F8E" w14:textId="568B774A" w:rsidR="00E252D9" w:rsidRPr="00801CF6" w:rsidRDefault="00E252D9" w:rsidP="00E252D9">
      <w:pPr>
        <w:ind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Copies of the applicable policy or certificate of coverage should be available, but are not required to be included with the submission. Copy the specific language from the policy or certificate into </w:t>
      </w:r>
      <w:r w:rsidR="001B6745" w:rsidRPr="00801CF6">
        <w:rPr>
          <w:rFonts w:ascii="Times New Roman" w:eastAsia="Times New Roman" w:hAnsi="Times New Roman" w:cs="Times New Roman"/>
          <w:sz w:val="24"/>
          <w:szCs w:val="24"/>
        </w:rPr>
        <w:t>the</w:t>
      </w:r>
      <w:r w:rsidR="001B6745">
        <w:rPr>
          <w:rFonts w:ascii="Times New Roman" w:eastAsia="Times New Roman" w:hAnsi="Times New Roman" w:cs="Times New Roman"/>
          <w:sz w:val="24"/>
          <w:szCs w:val="24"/>
        </w:rPr>
        <w:t xml:space="preserve"> NQTL Analysis R</w:t>
      </w:r>
      <w:r w:rsidRPr="00801CF6">
        <w:rPr>
          <w:rFonts w:ascii="Times New Roman" w:eastAsia="Times New Roman" w:hAnsi="Times New Roman" w:cs="Times New Roman"/>
          <w:sz w:val="24"/>
          <w:szCs w:val="24"/>
        </w:rPr>
        <w:t>eport</w:t>
      </w:r>
      <w:r w:rsidR="00CA4833">
        <w:rPr>
          <w:rFonts w:ascii="Times New Roman" w:eastAsia="Times New Roman" w:hAnsi="Times New Roman" w:cs="Times New Roman"/>
          <w:sz w:val="24"/>
          <w:szCs w:val="24"/>
        </w:rPr>
        <w:t xml:space="preserve"> Template</w:t>
      </w:r>
      <w:r w:rsidRPr="00801CF6">
        <w:rPr>
          <w:rFonts w:ascii="Times New Roman" w:eastAsia="Times New Roman" w:hAnsi="Times New Roman" w:cs="Times New Roman"/>
          <w:sz w:val="24"/>
          <w:szCs w:val="24"/>
        </w:rPr>
        <w:t>.  Provide the page number, section number, and form number where the provision can be found in the policy or certificate.  For plan documents other than the policy, certificate of coverage, or other form that has been previously filed with the MIA for approval, provide actual copies of the documents or internet links where the documents may be accessed online.</w:t>
      </w:r>
    </w:p>
    <w:p w14:paraId="172C0D6B" w14:textId="3F6C4858" w:rsidR="00E252D9" w:rsidRPr="00801CF6" w:rsidRDefault="00E252D9" w:rsidP="006277DC">
      <w:pPr>
        <w:numPr>
          <w:ilvl w:val="0"/>
          <w:numId w:val="13"/>
        </w:numPr>
        <w:pBdr>
          <w:top w:val="nil"/>
          <w:left w:val="nil"/>
          <w:bottom w:val="nil"/>
          <w:right w:val="nil"/>
          <w:between w:val="nil"/>
        </w:pBdr>
        <w:spacing w:after="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For each NQTL listed in Step 1 (a), identify whether the NQTL is applicable to medical/surgical or MH/SUD benefits for each applicable benefit classification and sub-classification in the area provided on the </w:t>
      </w:r>
      <w:r w:rsidR="00A57969">
        <w:rPr>
          <w:rFonts w:ascii="Times New Roman" w:eastAsia="Times New Roman" w:hAnsi="Times New Roman" w:cs="Times New Roman"/>
          <w:color w:val="000000"/>
          <w:sz w:val="24"/>
          <w:szCs w:val="24"/>
        </w:rPr>
        <w:t>NQTL Analysis Report</w:t>
      </w:r>
      <w:r w:rsidR="00072645">
        <w:rPr>
          <w:rFonts w:ascii="Times New Roman" w:eastAsia="Times New Roman" w:hAnsi="Times New Roman" w:cs="Times New Roman"/>
          <w:color w:val="000000"/>
          <w:sz w:val="24"/>
          <w:szCs w:val="24"/>
        </w:rPr>
        <w:t xml:space="preserve"> Template.</w:t>
      </w:r>
      <w:r w:rsidRPr="00801CF6">
        <w:rPr>
          <w:rFonts w:ascii="Times New Roman" w:eastAsia="Times New Roman" w:hAnsi="Times New Roman" w:cs="Times New Roman"/>
          <w:color w:val="000000"/>
          <w:sz w:val="24"/>
          <w:szCs w:val="24"/>
        </w:rPr>
        <w:t xml:space="preserve">  Indicate whether the NQTL applies to all services within the classification and sub-classification by entering “Yes” or “No” in the appropriate box. If the NQTL applies only to certain services within such classification and/or sub-classification, list each covered service to which the NQTL applies. </w:t>
      </w:r>
    </w:p>
    <w:p w14:paraId="100B8BC1" w14:textId="77777777" w:rsidR="00E252D9" w:rsidRPr="00801CF6" w:rsidRDefault="00E252D9" w:rsidP="00E252D9">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25FD2256" w14:textId="1685E3DB" w:rsidR="00E252D9" w:rsidRDefault="00E252D9" w:rsidP="00E252D9">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For the purposes of the NQTL analyses for each product/plan, if a carrier has elected not to divide benefits furnished on an outpatient basis into the two sub-classifications for “office visits” and “outpatient</w:t>
      </w:r>
      <w:r w:rsidR="001D1D0D">
        <w:rPr>
          <w:rFonts w:ascii="Times New Roman" w:eastAsia="Times New Roman" w:hAnsi="Times New Roman" w:cs="Times New Roman"/>
          <w:color w:val="000000"/>
          <w:sz w:val="24"/>
          <w:szCs w:val="24"/>
        </w:rPr>
        <w:t>-all other,”</w:t>
      </w:r>
      <w:r w:rsidRPr="00801CF6">
        <w:rPr>
          <w:rFonts w:ascii="Times New Roman" w:eastAsia="Times New Roman" w:hAnsi="Times New Roman" w:cs="Times New Roman"/>
          <w:color w:val="000000"/>
          <w:sz w:val="24"/>
          <w:szCs w:val="24"/>
        </w:rPr>
        <w:t xml:space="preserve"> then the </w:t>
      </w:r>
      <w:r w:rsidR="00072645">
        <w:rPr>
          <w:rFonts w:ascii="Times New Roman" w:eastAsia="Times New Roman" w:hAnsi="Times New Roman" w:cs="Times New Roman"/>
          <w:color w:val="000000"/>
          <w:sz w:val="24"/>
          <w:szCs w:val="24"/>
        </w:rPr>
        <w:t>s</w:t>
      </w:r>
      <w:r w:rsidR="00F04178" w:rsidRPr="00F04178">
        <w:rPr>
          <w:rFonts w:ascii="Times New Roman" w:eastAsia="Times New Roman" w:hAnsi="Times New Roman" w:cs="Times New Roman"/>
          <w:color w:val="000000"/>
          <w:sz w:val="24"/>
          <w:szCs w:val="24"/>
        </w:rPr>
        <w:t>ub</w:t>
      </w:r>
      <w:r w:rsidR="000C1346">
        <w:rPr>
          <w:rFonts w:ascii="Times New Roman" w:eastAsia="Times New Roman" w:hAnsi="Times New Roman" w:cs="Times New Roman"/>
          <w:color w:val="000000"/>
          <w:sz w:val="24"/>
          <w:szCs w:val="24"/>
        </w:rPr>
        <w:t>-</w:t>
      </w:r>
      <w:r w:rsidR="00F04178" w:rsidRPr="00F04178">
        <w:rPr>
          <w:rFonts w:ascii="Times New Roman" w:eastAsia="Times New Roman" w:hAnsi="Times New Roman" w:cs="Times New Roman"/>
          <w:color w:val="000000"/>
          <w:sz w:val="24"/>
          <w:szCs w:val="24"/>
        </w:rPr>
        <w:t xml:space="preserve">classification (office visits and </w:t>
      </w:r>
      <w:r w:rsidR="001D1D0D">
        <w:rPr>
          <w:rFonts w:ascii="Times New Roman" w:eastAsia="Times New Roman" w:hAnsi="Times New Roman" w:cs="Times New Roman"/>
          <w:color w:val="000000"/>
          <w:sz w:val="24"/>
          <w:szCs w:val="24"/>
        </w:rPr>
        <w:t xml:space="preserve">all other </w:t>
      </w:r>
      <w:r w:rsidR="00F04178" w:rsidRPr="00F04178">
        <w:rPr>
          <w:rFonts w:ascii="Times New Roman" w:eastAsia="Times New Roman" w:hAnsi="Times New Roman" w:cs="Times New Roman"/>
          <w:color w:val="000000"/>
          <w:sz w:val="24"/>
          <w:szCs w:val="24"/>
        </w:rPr>
        <w:t>outpatient</w:t>
      </w:r>
      <w:r w:rsidR="001D1D0D">
        <w:rPr>
          <w:rFonts w:ascii="Times New Roman" w:eastAsia="Times New Roman" w:hAnsi="Times New Roman" w:cs="Times New Roman"/>
          <w:color w:val="000000"/>
          <w:sz w:val="24"/>
          <w:szCs w:val="24"/>
        </w:rPr>
        <w:t xml:space="preserve"> items and services</w:t>
      </w:r>
      <w:r w:rsidR="00F04178" w:rsidRPr="00F04178">
        <w:rPr>
          <w:rFonts w:ascii="Times New Roman" w:eastAsia="Times New Roman" w:hAnsi="Times New Roman" w:cs="Times New Roman"/>
          <w:color w:val="000000"/>
          <w:sz w:val="24"/>
          <w:szCs w:val="24"/>
        </w:rPr>
        <w:t xml:space="preserve">) </w:t>
      </w:r>
      <w:r w:rsidR="00F04178">
        <w:rPr>
          <w:rFonts w:ascii="Times New Roman" w:eastAsia="Times New Roman" w:hAnsi="Times New Roman" w:cs="Times New Roman"/>
          <w:color w:val="000000"/>
          <w:sz w:val="24"/>
          <w:szCs w:val="24"/>
        </w:rPr>
        <w:t xml:space="preserve">column </w:t>
      </w:r>
      <w:r w:rsidR="002A3588">
        <w:rPr>
          <w:rFonts w:ascii="Times New Roman" w:eastAsia="Times New Roman" w:hAnsi="Times New Roman" w:cs="Times New Roman"/>
          <w:color w:val="000000"/>
          <w:sz w:val="24"/>
          <w:szCs w:val="24"/>
        </w:rPr>
        <w:t>is</w:t>
      </w:r>
      <w:r w:rsidRPr="00801CF6">
        <w:rPr>
          <w:rFonts w:ascii="Times New Roman" w:eastAsia="Times New Roman" w:hAnsi="Times New Roman" w:cs="Times New Roman"/>
          <w:color w:val="000000"/>
          <w:sz w:val="24"/>
          <w:szCs w:val="24"/>
        </w:rPr>
        <w:t xml:space="preserve"> used to identify the NQTLs applicable to the outpatient classification in general.  In this case, the carrier </w:t>
      </w:r>
      <w:r w:rsidR="001B6745">
        <w:rPr>
          <w:rFonts w:ascii="Times New Roman" w:eastAsia="Times New Roman" w:hAnsi="Times New Roman" w:cs="Times New Roman"/>
          <w:color w:val="000000"/>
          <w:sz w:val="24"/>
          <w:szCs w:val="24"/>
        </w:rPr>
        <w:t>would</w:t>
      </w:r>
      <w:r w:rsidRPr="00801CF6">
        <w:rPr>
          <w:rFonts w:ascii="Times New Roman" w:eastAsia="Times New Roman" w:hAnsi="Times New Roman" w:cs="Times New Roman"/>
          <w:color w:val="000000"/>
          <w:sz w:val="24"/>
          <w:szCs w:val="24"/>
        </w:rPr>
        <w:t xml:space="preserve"> inc</w:t>
      </w:r>
      <w:r w:rsidR="00F04178">
        <w:rPr>
          <w:rFonts w:ascii="Times New Roman" w:eastAsia="Times New Roman" w:hAnsi="Times New Roman" w:cs="Times New Roman"/>
          <w:color w:val="000000"/>
          <w:sz w:val="24"/>
          <w:szCs w:val="24"/>
        </w:rPr>
        <w:t>lude the following explanation</w:t>
      </w:r>
      <w:r w:rsidRPr="00801CF6">
        <w:rPr>
          <w:rFonts w:ascii="Times New Roman" w:eastAsia="Times New Roman" w:hAnsi="Times New Roman" w:cs="Times New Roman"/>
          <w:color w:val="000000"/>
          <w:sz w:val="24"/>
          <w:szCs w:val="24"/>
        </w:rPr>
        <w:t xml:space="preserve"> before identifying whether the listed NQTLs are applicable: “Outpatient sub-classifications were not utilized for the NQTL analysis for this [product/plan]. Responses apply to outpatient classification in general.” </w:t>
      </w:r>
    </w:p>
    <w:p w14:paraId="18CF0A4E" w14:textId="42EBEF06" w:rsidR="00F04178" w:rsidRDefault="00F04178" w:rsidP="00E252D9">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1E69AD85" w14:textId="43E0360E" w:rsidR="00B72F67" w:rsidRPr="00B72F67" w:rsidRDefault="00B72F67" w:rsidP="007B1C13">
      <w:pPr>
        <w:spacing w:after="0" w:line="240" w:lineRule="auto"/>
        <w:ind w:left="0" w:firstLine="0"/>
        <w:jc w:val="left"/>
        <w:rPr>
          <w:rFonts w:ascii="Times New Roman" w:eastAsia="Times New Roman" w:hAnsi="Times New Roman" w:cs="Times New Roman"/>
          <w:b/>
          <w:sz w:val="24"/>
          <w:szCs w:val="24"/>
          <w:u w:val="single"/>
        </w:rPr>
      </w:pPr>
      <w:r w:rsidRPr="00B72F67">
        <w:rPr>
          <w:rFonts w:ascii="Times New Roman" w:eastAsia="Times New Roman" w:hAnsi="Times New Roman" w:cs="Times New Roman"/>
          <w:b/>
          <w:sz w:val="24"/>
          <w:szCs w:val="24"/>
          <w:u w:val="single"/>
        </w:rPr>
        <w:t>For Steps 2 - 7</w:t>
      </w:r>
    </w:p>
    <w:p w14:paraId="67A9519A" w14:textId="77777777" w:rsidR="00B72F67" w:rsidRDefault="00B72F67" w:rsidP="007B1C13">
      <w:pPr>
        <w:spacing w:after="0" w:line="240" w:lineRule="auto"/>
        <w:ind w:left="0" w:firstLine="0"/>
        <w:jc w:val="left"/>
        <w:rPr>
          <w:rFonts w:ascii="Times New Roman" w:eastAsia="Times New Roman" w:hAnsi="Times New Roman" w:cs="Times New Roman"/>
          <w:b/>
          <w:sz w:val="24"/>
          <w:szCs w:val="24"/>
        </w:rPr>
      </w:pPr>
    </w:p>
    <w:p w14:paraId="5890BAF7" w14:textId="647FEDA9" w:rsidR="00E252D9" w:rsidRPr="00801CF6" w:rsidRDefault="000C1346" w:rsidP="00AC0ECB">
      <w:pPr>
        <w:spacing w:after="0" w:line="24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Steps 2 </w:t>
      </w:r>
      <w:r w:rsidR="00072645">
        <w:rPr>
          <w:rFonts w:ascii="Times New Roman" w:eastAsia="Times New Roman" w:hAnsi="Times New Roman" w:cs="Times New Roman"/>
          <w:b/>
          <w:sz w:val="24"/>
          <w:szCs w:val="24"/>
        </w:rPr>
        <w:t>through</w:t>
      </w:r>
      <w:r>
        <w:rPr>
          <w:rFonts w:ascii="Times New Roman" w:eastAsia="Times New Roman" w:hAnsi="Times New Roman" w:cs="Times New Roman"/>
          <w:b/>
          <w:sz w:val="24"/>
          <w:szCs w:val="24"/>
        </w:rPr>
        <w:t xml:space="preserve"> </w:t>
      </w:r>
      <w:r w:rsidR="00E252D9" w:rsidRPr="00801CF6">
        <w:rPr>
          <w:rFonts w:ascii="Times New Roman" w:eastAsia="Times New Roman" w:hAnsi="Times New Roman" w:cs="Times New Roman"/>
          <w:b/>
          <w:sz w:val="24"/>
          <w:szCs w:val="24"/>
        </w:rPr>
        <w:t xml:space="preserve">7 </w:t>
      </w:r>
      <w:r w:rsidR="00AC0ECB">
        <w:rPr>
          <w:rFonts w:ascii="Times New Roman" w:eastAsia="Times New Roman" w:hAnsi="Times New Roman" w:cs="Times New Roman"/>
          <w:b/>
          <w:sz w:val="24"/>
          <w:szCs w:val="24"/>
        </w:rPr>
        <w:t>are</w:t>
      </w:r>
      <w:r w:rsidR="00E252D9" w:rsidRPr="00801CF6">
        <w:rPr>
          <w:rFonts w:ascii="Times New Roman" w:eastAsia="Times New Roman" w:hAnsi="Times New Roman" w:cs="Times New Roman"/>
          <w:b/>
          <w:sz w:val="24"/>
          <w:szCs w:val="24"/>
        </w:rPr>
        <w:t xml:space="preserve"> performed for </w:t>
      </w:r>
      <w:r w:rsidR="00E252D9" w:rsidRPr="00801CF6">
        <w:rPr>
          <w:rFonts w:ascii="Times New Roman" w:eastAsia="Times New Roman" w:hAnsi="Times New Roman" w:cs="Times New Roman"/>
          <w:b/>
          <w:i/>
          <w:sz w:val="24"/>
          <w:szCs w:val="24"/>
          <w:u w:val="single"/>
        </w:rPr>
        <w:t>each</w:t>
      </w:r>
      <w:r w:rsidR="00E252D9" w:rsidRPr="00801CF6">
        <w:rPr>
          <w:rFonts w:ascii="Times New Roman" w:eastAsia="Times New Roman" w:hAnsi="Times New Roman" w:cs="Times New Roman"/>
          <w:b/>
          <w:sz w:val="24"/>
          <w:szCs w:val="24"/>
        </w:rPr>
        <w:t xml:space="preserve"> benefit classification and/or sub-classification.  Where applicable, responses should be conspicuously separated by benefit classification/sub-classification to clearly delineate differences in factors, sources, evidentiary standards, comparative analyses, etc. from one benefit classification/sub-classification to another.  </w:t>
      </w:r>
      <w:r w:rsidR="00107CDE">
        <w:rPr>
          <w:rFonts w:ascii="Times New Roman" w:eastAsia="Times New Roman" w:hAnsi="Times New Roman" w:cs="Times New Roman"/>
          <w:b/>
          <w:sz w:val="24"/>
          <w:szCs w:val="24"/>
        </w:rPr>
        <w:t>S</w:t>
      </w:r>
      <w:r w:rsidR="006F2C17">
        <w:rPr>
          <w:rFonts w:ascii="Times New Roman" w:eastAsia="Times New Roman" w:hAnsi="Times New Roman" w:cs="Times New Roman"/>
          <w:b/>
          <w:sz w:val="24"/>
          <w:szCs w:val="24"/>
        </w:rPr>
        <w:t>tate i</w:t>
      </w:r>
      <w:r w:rsidR="00E252D9" w:rsidRPr="00801CF6">
        <w:rPr>
          <w:rFonts w:ascii="Times New Roman" w:eastAsia="Times New Roman" w:hAnsi="Times New Roman" w:cs="Times New Roman"/>
          <w:b/>
          <w:sz w:val="24"/>
          <w:szCs w:val="24"/>
        </w:rPr>
        <w:t>f all elements of the design and application of a particular step in the analysis of an NQTL are the same across one or more benefit classifications/sub-classifications</w:t>
      </w:r>
      <w:r w:rsidR="00107CDE">
        <w:rPr>
          <w:rFonts w:ascii="Times New Roman" w:eastAsia="Times New Roman" w:hAnsi="Times New Roman" w:cs="Times New Roman"/>
          <w:b/>
          <w:sz w:val="24"/>
          <w:szCs w:val="24"/>
        </w:rPr>
        <w:t>. This statement must be expressly stated</w:t>
      </w:r>
      <w:r w:rsidR="00E252D9" w:rsidRPr="00801CF6">
        <w:rPr>
          <w:rFonts w:ascii="Times New Roman" w:eastAsia="Times New Roman" w:hAnsi="Times New Roman" w:cs="Times New Roman"/>
          <w:b/>
          <w:sz w:val="24"/>
          <w:szCs w:val="24"/>
        </w:rPr>
        <w:t xml:space="preserve"> and must be supported by the evidence and documentation provided.</w:t>
      </w:r>
    </w:p>
    <w:p w14:paraId="6ACBEDCE" w14:textId="77777777" w:rsidR="00CC2E72" w:rsidRPr="00801CF6" w:rsidRDefault="00CC2E72" w:rsidP="00CC2E72">
      <w:pPr>
        <w:pStyle w:val="Heading2"/>
        <w:spacing w:after="0"/>
        <w:ind w:left="0" w:firstLine="0"/>
        <w:rPr>
          <w:sz w:val="24"/>
          <w:szCs w:val="24"/>
        </w:rPr>
      </w:pPr>
    </w:p>
    <w:p w14:paraId="436176C3" w14:textId="142D0290" w:rsidR="00E252D9" w:rsidRPr="00B72F67" w:rsidRDefault="00E252D9" w:rsidP="00CC2E72">
      <w:pPr>
        <w:pStyle w:val="Heading2"/>
        <w:spacing w:after="0"/>
        <w:ind w:left="0" w:firstLine="0"/>
        <w:rPr>
          <w:b/>
          <w:sz w:val="24"/>
          <w:szCs w:val="24"/>
        </w:rPr>
      </w:pPr>
      <w:bookmarkStart w:id="31" w:name="_Toc229123346"/>
      <w:bookmarkStart w:id="32" w:name="_Toc229123624"/>
      <w:r w:rsidRPr="00B72F67">
        <w:rPr>
          <w:b/>
          <w:sz w:val="24"/>
          <w:szCs w:val="24"/>
        </w:rPr>
        <w:t>Step 2</w:t>
      </w:r>
      <w:r w:rsidR="00B72F67" w:rsidRPr="00B72F67">
        <w:rPr>
          <w:b/>
          <w:sz w:val="24"/>
          <w:szCs w:val="24"/>
        </w:rPr>
        <w:t>:</w:t>
      </w:r>
      <w:r w:rsidRPr="00B72F67">
        <w:rPr>
          <w:b/>
          <w:sz w:val="24"/>
          <w:szCs w:val="24"/>
        </w:rPr>
        <w:t xml:space="preserve"> Factors and Source</w:t>
      </w:r>
      <w:r w:rsidR="00B72F67" w:rsidRPr="00B72F67">
        <w:rPr>
          <w:b/>
          <w:sz w:val="24"/>
          <w:szCs w:val="24"/>
        </w:rPr>
        <w:t>s by Benefit and Classification</w:t>
      </w:r>
      <w:bookmarkEnd w:id="31"/>
      <w:bookmarkEnd w:id="32"/>
    </w:p>
    <w:p w14:paraId="3F8ABB89" w14:textId="77777777" w:rsidR="00B72F67" w:rsidRDefault="00B72F67" w:rsidP="00E252D9">
      <w:pPr>
        <w:spacing w:after="0" w:line="240" w:lineRule="auto"/>
        <w:ind w:left="0" w:firstLine="0"/>
        <w:rPr>
          <w:rFonts w:ascii="Times New Roman" w:eastAsia="Times New Roman" w:hAnsi="Times New Roman" w:cs="Times New Roman"/>
          <w:sz w:val="24"/>
          <w:szCs w:val="24"/>
        </w:rPr>
      </w:pPr>
    </w:p>
    <w:p w14:paraId="1F09A603" w14:textId="19827669" w:rsidR="00E252D9" w:rsidRPr="00801CF6" w:rsidRDefault="00E252D9" w:rsidP="00E252D9">
      <w:pPr>
        <w:spacing w:after="0" w:line="240"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For each NQTL listed in Step 1</w:t>
      </w:r>
      <w:r w:rsidR="00072645">
        <w:rPr>
          <w:rFonts w:ascii="Times New Roman" w:eastAsia="Times New Roman" w:hAnsi="Times New Roman" w:cs="Times New Roman"/>
          <w:sz w:val="24"/>
          <w:szCs w:val="24"/>
        </w:rPr>
        <w:t>(a)</w:t>
      </w:r>
      <w:r w:rsidRPr="00801CF6">
        <w:rPr>
          <w:rFonts w:ascii="Times New Roman" w:eastAsia="Times New Roman" w:hAnsi="Times New Roman" w:cs="Times New Roman"/>
          <w:sz w:val="24"/>
          <w:szCs w:val="24"/>
        </w:rPr>
        <w:t>, identify the factors and the source</w:t>
      </w:r>
      <w:r w:rsidR="00251AE7" w:rsidRPr="00801CF6">
        <w:rPr>
          <w:rFonts w:ascii="Times New Roman" w:eastAsia="Times New Roman" w:hAnsi="Times New Roman" w:cs="Times New Roman"/>
          <w:sz w:val="24"/>
          <w:szCs w:val="24"/>
        </w:rPr>
        <w:t>(s)</w:t>
      </w:r>
      <w:r w:rsidRPr="00801CF6">
        <w:rPr>
          <w:rFonts w:ascii="Times New Roman" w:eastAsia="Times New Roman" w:hAnsi="Times New Roman" w:cs="Times New Roman"/>
          <w:sz w:val="24"/>
          <w:szCs w:val="24"/>
        </w:rPr>
        <w:t xml:space="preserve"> for each factor used to determine that it is appropriate to apply each NQTL to each classification, sub-classification, or certain services within such classification or sub-classification for both MH/SUD and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sz w:val="24"/>
          <w:szCs w:val="24"/>
        </w:rPr>
        <w:t xml:space="preserve"> benefits. (§15-144(e)(1)).</w:t>
      </w:r>
    </w:p>
    <w:p w14:paraId="50328CEB" w14:textId="77777777" w:rsidR="00E252D9" w:rsidRPr="00801CF6" w:rsidRDefault="00E252D9" w:rsidP="00E252D9">
      <w:pPr>
        <w:spacing w:after="0" w:line="240" w:lineRule="auto"/>
        <w:ind w:left="0" w:firstLine="0"/>
        <w:rPr>
          <w:rFonts w:ascii="Times New Roman" w:eastAsia="Times New Roman" w:hAnsi="Times New Roman" w:cs="Times New Roman"/>
          <w:sz w:val="24"/>
          <w:szCs w:val="24"/>
        </w:rPr>
      </w:pPr>
    </w:p>
    <w:p w14:paraId="3E54E651" w14:textId="046C4DDA" w:rsidR="00E252D9" w:rsidRPr="00801CF6" w:rsidRDefault="00E252D9" w:rsidP="00E252D9">
      <w:pPr>
        <w:spacing w:after="0" w:line="240"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Include responses in the applicable cells in the </w:t>
      </w:r>
      <w:r w:rsidR="0060281A">
        <w:rPr>
          <w:rFonts w:ascii="Times New Roman" w:eastAsia="Times New Roman" w:hAnsi="Times New Roman" w:cs="Times New Roman"/>
          <w:sz w:val="24"/>
          <w:szCs w:val="24"/>
        </w:rPr>
        <w:t>table</w:t>
      </w:r>
      <w:r w:rsidRPr="00801CF6">
        <w:rPr>
          <w:rFonts w:ascii="Times New Roman" w:eastAsia="Times New Roman" w:hAnsi="Times New Roman" w:cs="Times New Roman"/>
          <w:sz w:val="24"/>
          <w:szCs w:val="24"/>
        </w:rPr>
        <w:t xml:space="preserve"> provided on the </w:t>
      </w:r>
      <w:r w:rsidR="000E2575">
        <w:rPr>
          <w:rFonts w:ascii="Times New Roman" w:eastAsia="Times New Roman" w:hAnsi="Times New Roman" w:cs="Times New Roman"/>
          <w:sz w:val="24"/>
          <w:szCs w:val="24"/>
        </w:rPr>
        <w:t>NQTL Analysis Report T</w:t>
      </w:r>
      <w:r w:rsidR="0060281A">
        <w:rPr>
          <w:rFonts w:ascii="Times New Roman" w:eastAsia="Times New Roman" w:hAnsi="Times New Roman" w:cs="Times New Roman"/>
          <w:sz w:val="24"/>
          <w:szCs w:val="24"/>
        </w:rPr>
        <w:t>emplate</w:t>
      </w:r>
      <w:r w:rsidRPr="00801CF6">
        <w:rPr>
          <w:rFonts w:ascii="Times New Roman" w:eastAsia="Times New Roman" w:hAnsi="Times New Roman" w:cs="Times New Roman"/>
          <w:sz w:val="24"/>
          <w:szCs w:val="24"/>
        </w:rPr>
        <w:t>.  Number each factor and corresponding source to clearly identify the sources and factors that go together.  If the factors or sources are the same across any benefit classifications/sub-classifications, include a note to this effect instead of repeating all factors and sources.  For example, the factor cell for a certain classification may state: “Same as factors for In</w:t>
      </w:r>
      <w:r w:rsidR="00691E72">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Network Outpatient-Office” or “Factors 2 and 4 for In</w:t>
      </w:r>
      <w:r w:rsidR="00691E72">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Network Outpatient-Office also apply to this classification.”</w:t>
      </w:r>
    </w:p>
    <w:p w14:paraId="5A148E30" w14:textId="77777777" w:rsidR="00E252D9" w:rsidRPr="00801CF6" w:rsidRDefault="00E252D9" w:rsidP="00E252D9">
      <w:pPr>
        <w:spacing w:after="0" w:line="240" w:lineRule="auto"/>
        <w:ind w:left="0" w:firstLine="0"/>
        <w:rPr>
          <w:rFonts w:ascii="Times New Roman" w:eastAsia="Times New Roman" w:hAnsi="Times New Roman" w:cs="Times New Roman"/>
          <w:sz w:val="24"/>
          <w:szCs w:val="24"/>
        </w:rPr>
      </w:pPr>
    </w:p>
    <w:p w14:paraId="619F9C54" w14:textId="615F3728" w:rsidR="00E252D9" w:rsidRPr="00801CF6" w:rsidRDefault="00E252D9" w:rsidP="00691E72">
      <w:pPr>
        <w:numPr>
          <w:ilvl w:val="0"/>
          <w:numId w:val="17"/>
        </w:numPr>
        <w:pBdr>
          <w:top w:val="nil"/>
          <w:left w:val="nil"/>
          <w:bottom w:val="nil"/>
          <w:right w:val="nil"/>
          <w:between w:val="nil"/>
        </w:pBdr>
        <w:rPr>
          <w:rFonts w:ascii="Times New Roman" w:hAnsi="Times New Roman" w:cs="Times New Roman"/>
          <w:sz w:val="24"/>
          <w:szCs w:val="24"/>
        </w:rPr>
      </w:pPr>
      <w:r w:rsidRPr="00801CF6">
        <w:rPr>
          <w:rFonts w:ascii="Times New Roman" w:eastAsia="Times New Roman" w:hAnsi="Times New Roman" w:cs="Times New Roman"/>
          <w:color w:val="000000"/>
          <w:sz w:val="24"/>
          <w:szCs w:val="24"/>
        </w:rPr>
        <w:t xml:space="preserve">Identify the factors that the plan uses to determine whether each benefit, service, or procedure/revenue code, as a matter of plan policy, is deemed subject to the NQTLs.  </w:t>
      </w:r>
    </w:p>
    <w:p w14:paraId="433D3B00" w14:textId="77777777" w:rsidR="00E252D9" w:rsidRPr="00801CF6" w:rsidRDefault="00E252D9" w:rsidP="00E252D9">
      <w:pPr>
        <w:pBdr>
          <w:top w:val="nil"/>
          <w:left w:val="nil"/>
          <w:bottom w:val="nil"/>
          <w:right w:val="nil"/>
          <w:between w:val="nil"/>
        </w:pBdr>
        <w:tabs>
          <w:tab w:val="left" w:pos="1575"/>
        </w:tabs>
        <w:ind w:left="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Illustrative examples of factors include, but are not limited to:</w:t>
      </w:r>
    </w:p>
    <w:p w14:paraId="1F0D4BD7"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Excessive utilization; </w:t>
      </w:r>
    </w:p>
    <w:p w14:paraId="737927E8" w14:textId="77777777" w:rsidR="00E252D9" w:rsidRPr="00B72F67" w:rsidRDefault="00E252D9" w:rsidP="006277DC">
      <w:pPr>
        <w:numPr>
          <w:ilvl w:val="0"/>
          <w:numId w:val="20"/>
        </w:numPr>
        <w:tabs>
          <w:tab w:val="left" w:pos="1575"/>
        </w:tabs>
        <w:rPr>
          <w:rFonts w:ascii="Times New Roman" w:hAnsi="Times New Roman" w:cs="Times New Roman"/>
          <w:sz w:val="24"/>
          <w:szCs w:val="24"/>
        </w:rPr>
      </w:pPr>
      <w:r w:rsidRPr="00B72F67">
        <w:rPr>
          <w:rFonts w:ascii="Times New Roman" w:eastAsia="Times New Roman" w:hAnsi="Times New Roman" w:cs="Times New Roman"/>
          <w:sz w:val="24"/>
          <w:szCs w:val="24"/>
        </w:rPr>
        <w:t xml:space="preserve">Provider discretion in determining diagnosis, or type or length of treatment; </w:t>
      </w:r>
    </w:p>
    <w:p w14:paraId="09FCEDFD"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Lack of clinical efficiency of treatment or service; </w:t>
      </w:r>
    </w:p>
    <w:p w14:paraId="6641BB4A"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High levels of variation in length of stay; </w:t>
      </w:r>
    </w:p>
    <w:p w14:paraId="02BAEEDD"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High variability in quality of care;</w:t>
      </w:r>
    </w:p>
    <w:p w14:paraId="586A33C1"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Lack of adherence to quality standards; </w:t>
      </w:r>
    </w:p>
    <w:p w14:paraId="0E4E822E"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Clinical efficacy of the proposed treatment or service;</w:t>
      </w:r>
    </w:p>
    <w:p w14:paraId="74E4CCA4"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Severity or chronicity of the MH/SUD or medical/surgical condition; </w:t>
      </w:r>
    </w:p>
    <w:p w14:paraId="088B96AF"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Current and projected demand for services;</w:t>
      </w:r>
    </w:p>
    <w:p w14:paraId="6E2068A6"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Licensing and accreditation of providers;</w:t>
      </w:r>
    </w:p>
    <w:p w14:paraId="6C5BA788"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Geographic market (i.e., market rate and payment type for provider type and/or specialty);</w:t>
      </w:r>
    </w:p>
    <w:p w14:paraId="1336F6BC" w14:textId="76365F49"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lastRenderedPageBreak/>
        <w:t>Provider type (</w:t>
      </w:r>
      <w:r w:rsidR="00714802">
        <w:rPr>
          <w:rFonts w:ascii="Times New Roman" w:eastAsia="Times New Roman" w:hAnsi="Times New Roman" w:cs="Times New Roman"/>
          <w:sz w:val="24"/>
          <w:szCs w:val="24"/>
        </w:rPr>
        <w:t>for example</w:t>
      </w:r>
      <w:r w:rsidRPr="00801CF6">
        <w:rPr>
          <w:rFonts w:ascii="Times New Roman" w:eastAsia="Times New Roman" w:hAnsi="Times New Roman" w:cs="Times New Roman"/>
          <w:sz w:val="24"/>
          <w:szCs w:val="24"/>
        </w:rPr>
        <w:t>, hospital, clinic, and practitioner) and/or specialty;</w:t>
      </w:r>
    </w:p>
    <w:p w14:paraId="3EA4342F" w14:textId="1EF26856" w:rsidR="00E252D9" w:rsidRPr="00801CF6" w:rsidRDefault="005870CE" w:rsidP="006277DC">
      <w:pPr>
        <w:numPr>
          <w:ilvl w:val="0"/>
          <w:numId w:val="20"/>
        </w:numPr>
        <w:tabs>
          <w:tab w:val="left" w:pos="1575"/>
        </w:tabs>
        <w:rPr>
          <w:rFonts w:ascii="Times New Roman" w:hAnsi="Times New Roman" w:cs="Times New Roman"/>
          <w:sz w:val="24"/>
          <w:szCs w:val="24"/>
        </w:rPr>
      </w:pPr>
      <w:r>
        <w:rPr>
          <w:rFonts w:ascii="Times New Roman" w:eastAsia="Times New Roman" w:hAnsi="Times New Roman" w:cs="Times New Roman"/>
          <w:sz w:val="24"/>
          <w:szCs w:val="24"/>
        </w:rPr>
        <w:t>Number of provider types and/or specialties</w:t>
      </w:r>
      <w:r w:rsidR="00E252D9" w:rsidRPr="00801CF6">
        <w:rPr>
          <w:rFonts w:ascii="Times New Roman" w:eastAsia="Times New Roman" w:hAnsi="Times New Roman" w:cs="Times New Roman"/>
          <w:sz w:val="24"/>
          <w:szCs w:val="24"/>
        </w:rPr>
        <w:t>;</w:t>
      </w:r>
    </w:p>
    <w:p w14:paraId="3C72B728"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Network need and/or demand for provider type and/or specialty;</w:t>
      </w:r>
    </w:p>
    <w:p w14:paraId="17E94955" w14:textId="22053141"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Medicare reimbursement rates;</w:t>
      </w:r>
      <w:r w:rsidR="00A741C5" w:rsidRPr="00801CF6">
        <w:rPr>
          <w:rFonts w:ascii="Times New Roman" w:eastAsia="Times New Roman" w:hAnsi="Times New Roman" w:cs="Times New Roman"/>
          <w:sz w:val="24"/>
          <w:szCs w:val="24"/>
        </w:rPr>
        <w:t xml:space="preserve"> and</w:t>
      </w:r>
    </w:p>
    <w:p w14:paraId="6BAF0683" w14:textId="77777777" w:rsidR="00E252D9" w:rsidRPr="00801CF6" w:rsidRDefault="00E252D9" w:rsidP="006277DC">
      <w:pPr>
        <w:numPr>
          <w:ilvl w:val="0"/>
          <w:numId w:val="20"/>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Training, experience, and licensure of provider.</w:t>
      </w:r>
    </w:p>
    <w:p w14:paraId="3499B81E" w14:textId="2284E80B" w:rsidR="00E252D9" w:rsidRPr="00801CF6" w:rsidRDefault="00E252D9" w:rsidP="00E252D9">
      <w:pPr>
        <w:numPr>
          <w:ilvl w:val="0"/>
          <w:numId w:val="4"/>
        </w:numPr>
        <w:ind w:left="270"/>
        <w:rPr>
          <w:rFonts w:ascii="Times New Roman" w:hAnsi="Times New Roman" w:cs="Times New Roman"/>
          <w:sz w:val="24"/>
          <w:szCs w:val="24"/>
        </w:rPr>
      </w:pPr>
      <w:r w:rsidRPr="00801CF6">
        <w:rPr>
          <w:rFonts w:ascii="Times New Roman" w:eastAsia="Times New Roman" w:hAnsi="Times New Roman" w:cs="Times New Roman"/>
          <w:sz w:val="24"/>
          <w:szCs w:val="24"/>
        </w:rPr>
        <w:t>Identify the source</w:t>
      </w:r>
      <w:r w:rsidR="00CC2E72" w:rsidRPr="00801CF6">
        <w:rPr>
          <w:rFonts w:ascii="Times New Roman" w:eastAsia="Times New Roman" w:hAnsi="Times New Roman" w:cs="Times New Roman"/>
          <w:sz w:val="24"/>
          <w:szCs w:val="24"/>
        </w:rPr>
        <w:t>(s)</w:t>
      </w:r>
      <w:r w:rsidRPr="00801CF6">
        <w:rPr>
          <w:rFonts w:ascii="Times New Roman" w:eastAsia="Times New Roman" w:hAnsi="Times New Roman" w:cs="Times New Roman"/>
          <w:sz w:val="24"/>
          <w:szCs w:val="24"/>
        </w:rPr>
        <w:t xml:space="preserve"> of the information the carrier used to assign the factors that the plan refers to when determining whether each service or code is deemed subject to the NQTL, as a matter of plan policy.  </w:t>
      </w:r>
    </w:p>
    <w:p w14:paraId="0839195D" w14:textId="77777777" w:rsidR="00E252D9" w:rsidRPr="00801CF6" w:rsidRDefault="00E252D9" w:rsidP="00E252D9">
      <w:pPr>
        <w:tabs>
          <w:tab w:val="left" w:pos="1575"/>
        </w:tabs>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Illustrative examples of sources of factors include, but are not limited to: </w:t>
      </w:r>
    </w:p>
    <w:p w14:paraId="118EBCAF" w14:textId="77777777" w:rsidR="00E252D9" w:rsidRPr="00801CF6"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Internal claims analysis; </w:t>
      </w:r>
    </w:p>
    <w:p w14:paraId="2BE94C62" w14:textId="77777777" w:rsidR="00E252D9" w:rsidRPr="00801CF6"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Medical expert reviews; </w:t>
      </w:r>
    </w:p>
    <w:p w14:paraId="30241808" w14:textId="77777777" w:rsidR="00E252D9" w:rsidRPr="00801CF6"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State and federal requirements; </w:t>
      </w:r>
    </w:p>
    <w:p w14:paraId="73BAA8DE" w14:textId="77777777" w:rsidR="00E252D9" w:rsidRPr="00801CF6"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National accreditation standards; </w:t>
      </w:r>
    </w:p>
    <w:p w14:paraId="5AED552B" w14:textId="77777777" w:rsidR="00E252D9" w:rsidRPr="00801CF6"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Internal market and competitive analysis; </w:t>
      </w:r>
    </w:p>
    <w:p w14:paraId="5DE92AA9" w14:textId="77777777" w:rsidR="00E252D9" w:rsidRPr="00801CF6"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Medicare physician fee schedules; </w:t>
      </w:r>
    </w:p>
    <w:p w14:paraId="55167FA4" w14:textId="77777777" w:rsidR="00E252D9" w:rsidRPr="00801CF6"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Internal quality standard studies; </w:t>
      </w:r>
    </w:p>
    <w:p w14:paraId="5B2BA625" w14:textId="78FCBB08" w:rsidR="00E252D9" w:rsidRPr="00801CF6"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External healthcare claims database</w:t>
      </w:r>
      <w:r w:rsidR="00AB15D6">
        <w:rPr>
          <w:rFonts w:ascii="Times New Roman" w:eastAsia="Times New Roman" w:hAnsi="Times New Roman" w:cs="Times New Roman"/>
          <w:sz w:val="24"/>
          <w:szCs w:val="24"/>
        </w:rPr>
        <w:t>s</w:t>
      </w:r>
      <w:r w:rsidRPr="00801CF6">
        <w:rPr>
          <w:rFonts w:ascii="Times New Roman" w:eastAsia="Times New Roman" w:hAnsi="Times New Roman" w:cs="Times New Roman"/>
          <w:sz w:val="24"/>
          <w:szCs w:val="24"/>
        </w:rPr>
        <w:t>;</w:t>
      </w:r>
    </w:p>
    <w:p w14:paraId="3491C50A" w14:textId="7EBF6B33" w:rsidR="00E252D9" w:rsidRPr="00801CF6"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Current Medicare Physician Fee Schedule;</w:t>
      </w:r>
      <w:r w:rsidR="00A741C5" w:rsidRPr="00801CF6">
        <w:rPr>
          <w:rFonts w:ascii="Times New Roman" w:eastAsia="Times New Roman" w:hAnsi="Times New Roman" w:cs="Times New Roman"/>
          <w:sz w:val="24"/>
          <w:szCs w:val="24"/>
        </w:rPr>
        <w:t xml:space="preserve"> and</w:t>
      </w:r>
    </w:p>
    <w:p w14:paraId="63143C0F" w14:textId="1FB6140D" w:rsidR="00E252D9" w:rsidRPr="006277DC" w:rsidRDefault="00E252D9" w:rsidP="006277DC">
      <w:pPr>
        <w:numPr>
          <w:ilvl w:val="0"/>
          <w:numId w:val="21"/>
        </w:numPr>
        <w:tabs>
          <w:tab w:val="left" w:pos="1575"/>
        </w:tabs>
        <w:rPr>
          <w:rFonts w:ascii="Times New Roman" w:hAnsi="Times New Roman" w:cs="Times New Roman"/>
          <w:sz w:val="24"/>
          <w:szCs w:val="24"/>
        </w:rPr>
      </w:pPr>
      <w:r w:rsidRPr="00801CF6">
        <w:rPr>
          <w:rFonts w:ascii="Times New Roman" w:eastAsia="Times New Roman" w:hAnsi="Times New Roman" w:cs="Times New Roman"/>
          <w:sz w:val="24"/>
          <w:szCs w:val="24"/>
        </w:rPr>
        <w:t>Medicare RVU for CPT codes.</w:t>
      </w:r>
    </w:p>
    <w:p w14:paraId="3E9168D7" w14:textId="10ABC0C8" w:rsidR="0078489A" w:rsidRPr="0078489A" w:rsidRDefault="00E252D9" w:rsidP="006277DC">
      <w:pPr>
        <w:numPr>
          <w:ilvl w:val="0"/>
          <w:numId w:val="14"/>
        </w:numPr>
        <w:pBdr>
          <w:top w:val="nil"/>
          <w:left w:val="nil"/>
          <w:bottom w:val="nil"/>
          <w:right w:val="nil"/>
          <w:between w:val="nil"/>
        </w:pBdr>
        <w:spacing w:after="0"/>
        <w:rPr>
          <w:rFonts w:ascii="Times New Roman" w:hAnsi="Times New Roman" w:cs="Times New Roman"/>
          <w:b/>
          <w:bCs/>
          <w:sz w:val="24"/>
          <w:szCs w:val="24"/>
        </w:rPr>
      </w:pPr>
      <w:r w:rsidRPr="00801CF6">
        <w:rPr>
          <w:rFonts w:ascii="Times New Roman" w:eastAsia="Times New Roman" w:hAnsi="Times New Roman" w:cs="Times New Roman"/>
          <w:color w:val="000000"/>
          <w:sz w:val="24"/>
          <w:szCs w:val="24"/>
        </w:rPr>
        <w:t xml:space="preserve">If a factor was given more weight than another, </w:t>
      </w:r>
      <w:r w:rsidR="0060281A">
        <w:rPr>
          <w:rFonts w:ascii="Times New Roman" w:eastAsia="Times New Roman" w:hAnsi="Times New Roman" w:cs="Times New Roman"/>
          <w:color w:val="000000"/>
          <w:sz w:val="24"/>
          <w:szCs w:val="24"/>
        </w:rPr>
        <w:t>note</w:t>
      </w:r>
      <w:r w:rsidRPr="00801CF6">
        <w:rPr>
          <w:rFonts w:ascii="Times New Roman" w:eastAsia="Times New Roman" w:hAnsi="Times New Roman" w:cs="Times New Roman"/>
          <w:color w:val="000000"/>
          <w:sz w:val="24"/>
          <w:szCs w:val="24"/>
        </w:rPr>
        <w:t xml:space="preserve"> the difference in weighting</w:t>
      </w:r>
      <w:r w:rsidR="0060281A">
        <w:rPr>
          <w:rFonts w:ascii="Times New Roman" w:eastAsia="Times New Roman" w:hAnsi="Times New Roman" w:cs="Times New Roman"/>
          <w:color w:val="000000"/>
          <w:sz w:val="24"/>
          <w:szCs w:val="24"/>
        </w:rPr>
        <w:t xml:space="preserve"> and explain the </w:t>
      </w:r>
      <w:r w:rsidR="00993631">
        <w:rPr>
          <w:rFonts w:ascii="Times New Roman" w:eastAsia="Times New Roman" w:hAnsi="Times New Roman" w:cs="Times New Roman"/>
          <w:color w:val="000000"/>
          <w:sz w:val="24"/>
          <w:szCs w:val="24"/>
        </w:rPr>
        <w:t>justification</w:t>
      </w:r>
      <w:r w:rsidR="0060281A">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  Differences in weighting of factors include circumstances where multiple factors must generally be present to trigger the application of the NQTL, but the existence of a particular factor, by itself, will trigger the application of the NQTL, even if other factors are not present. </w:t>
      </w:r>
      <w:r w:rsidRPr="0078489A">
        <w:rPr>
          <w:rFonts w:ascii="Times New Roman" w:eastAsia="Times New Roman" w:hAnsi="Times New Roman" w:cs="Times New Roman"/>
          <w:bCs/>
          <w:color w:val="000000"/>
          <w:sz w:val="24"/>
          <w:szCs w:val="24"/>
        </w:rPr>
        <w:t xml:space="preserve">An example of weighting </w:t>
      </w:r>
      <w:r w:rsidR="0060281A" w:rsidRPr="0078489A">
        <w:rPr>
          <w:rFonts w:ascii="Times New Roman" w:eastAsia="Times New Roman" w:hAnsi="Times New Roman" w:cs="Times New Roman"/>
          <w:bCs/>
          <w:color w:val="000000"/>
          <w:sz w:val="24"/>
          <w:szCs w:val="24"/>
        </w:rPr>
        <w:t>is</w:t>
      </w:r>
      <w:r w:rsidRPr="0078489A">
        <w:rPr>
          <w:rFonts w:ascii="Times New Roman" w:eastAsia="Times New Roman" w:hAnsi="Times New Roman" w:cs="Times New Roman"/>
          <w:bCs/>
          <w:color w:val="000000"/>
          <w:sz w:val="24"/>
          <w:szCs w:val="24"/>
        </w:rPr>
        <w:t xml:space="preserve"> if the factors and evidentiary standards are applied in a sequence or hierarchy</w:t>
      </w:r>
      <w:r w:rsidR="005870CE" w:rsidRPr="0078489A">
        <w:rPr>
          <w:rFonts w:ascii="Times New Roman" w:eastAsia="Times New Roman" w:hAnsi="Times New Roman" w:cs="Times New Roman"/>
          <w:bCs/>
          <w:color w:val="000000"/>
          <w:sz w:val="24"/>
          <w:szCs w:val="24"/>
        </w:rPr>
        <w:t>, such as first considering whether other safe and effective treatments exist to determine which other factors will be applied to determine application of the NQTL</w:t>
      </w:r>
      <w:r w:rsidRPr="0078489A">
        <w:rPr>
          <w:rFonts w:ascii="Times New Roman" w:eastAsia="Times New Roman" w:hAnsi="Times New Roman" w:cs="Times New Roman"/>
          <w:bCs/>
          <w:color w:val="000000"/>
          <w:sz w:val="24"/>
          <w:szCs w:val="24"/>
        </w:rPr>
        <w:t xml:space="preserve">. </w:t>
      </w:r>
    </w:p>
    <w:p w14:paraId="280F659D" w14:textId="77777777" w:rsidR="0078489A" w:rsidRPr="0078489A" w:rsidRDefault="0078489A" w:rsidP="0078489A">
      <w:pPr>
        <w:pBdr>
          <w:top w:val="nil"/>
          <w:left w:val="nil"/>
          <w:bottom w:val="nil"/>
          <w:right w:val="nil"/>
          <w:between w:val="nil"/>
        </w:pBdr>
        <w:spacing w:after="0"/>
        <w:ind w:left="360" w:firstLine="0"/>
        <w:rPr>
          <w:rFonts w:ascii="Times New Roman" w:hAnsi="Times New Roman" w:cs="Times New Roman"/>
          <w:b/>
          <w:bCs/>
          <w:sz w:val="24"/>
          <w:szCs w:val="24"/>
        </w:rPr>
      </w:pPr>
    </w:p>
    <w:p w14:paraId="1A510702" w14:textId="538861B6" w:rsidR="00E252D9" w:rsidRPr="0078489A" w:rsidRDefault="00E252D9" w:rsidP="0078489A">
      <w:pPr>
        <w:numPr>
          <w:ilvl w:val="0"/>
          <w:numId w:val="14"/>
        </w:numPr>
        <w:pBdr>
          <w:top w:val="nil"/>
          <w:left w:val="nil"/>
          <w:bottom w:val="nil"/>
          <w:right w:val="nil"/>
          <w:between w:val="nil"/>
        </w:pBdr>
        <w:spacing w:after="0"/>
        <w:rPr>
          <w:rFonts w:ascii="Times New Roman" w:hAnsi="Times New Roman" w:cs="Times New Roman"/>
          <w:b/>
          <w:bCs/>
          <w:sz w:val="24"/>
          <w:szCs w:val="24"/>
        </w:rPr>
      </w:pPr>
      <w:r w:rsidRPr="0078489A">
        <w:rPr>
          <w:rFonts w:ascii="Times New Roman" w:eastAsia="Times New Roman" w:hAnsi="Times New Roman" w:cs="Times New Roman"/>
          <w:bCs/>
          <w:color w:val="000000"/>
          <w:sz w:val="24"/>
          <w:szCs w:val="24"/>
        </w:rPr>
        <w:t xml:space="preserve"> </w:t>
      </w:r>
      <w:r w:rsidRPr="0078489A">
        <w:rPr>
          <w:rFonts w:ascii="Times New Roman" w:eastAsia="Times New Roman" w:hAnsi="Times New Roman" w:cs="Times New Roman"/>
          <w:b/>
          <w:bCs/>
          <w:color w:val="000000"/>
          <w:sz w:val="24"/>
          <w:szCs w:val="24"/>
        </w:rPr>
        <w:t>If all factors are weighted the same, the response should provide confirmation of this.</w:t>
      </w:r>
    </w:p>
    <w:p w14:paraId="31869F5C" w14:textId="77777777" w:rsidR="00E252D9" w:rsidRPr="00801CF6" w:rsidRDefault="00E252D9" w:rsidP="00E252D9">
      <w:pPr>
        <w:pBdr>
          <w:top w:val="nil"/>
          <w:left w:val="nil"/>
          <w:bottom w:val="nil"/>
          <w:right w:val="nil"/>
          <w:between w:val="nil"/>
        </w:pBdr>
        <w:spacing w:after="0"/>
        <w:rPr>
          <w:rFonts w:ascii="Times New Roman" w:hAnsi="Times New Roman" w:cs="Times New Roman"/>
          <w:color w:val="000000"/>
          <w:sz w:val="24"/>
          <w:szCs w:val="24"/>
        </w:rPr>
      </w:pPr>
    </w:p>
    <w:p w14:paraId="149C58C7" w14:textId="60FE2396" w:rsidR="00E252D9" w:rsidRPr="00801CF6" w:rsidRDefault="00E252D9" w:rsidP="006277DC">
      <w:pPr>
        <w:numPr>
          <w:ilvl w:val="0"/>
          <w:numId w:val="14"/>
        </w:numPr>
        <w:pBdr>
          <w:top w:val="nil"/>
          <w:left w:val="nil"/>
          <w:bottom w:val="nil"/>
          <w:right w:val="nil"/>
          <w:between w:val="nil"/>
        </w:pBdr>
        <w:rPr>
          <w:rFonts w:ascii="Times New Roman" w:hAnsi="Times New Roman" w:cs="Times New Roman"/>
          <w:sz w:val="24"/>
          <w:szCs w:val="24"/>
        </w:rPr>
      </w:pPr>
      <w:r w:rsidRPr="00801CF6">
        <w:rPr>
          <w:rFonts w:ascii="Times New Roman" w:hAnsi="Times New Roman" w:cs="Times New Roman"/>
          <w:sz w:val="24"/>
          <w:szCs w:val="24"/>
        </w:rPr>
        <w:t xml:space="preserve">If artificial intelligence (AI) is used or consulted in any capacity for the design or application of an NQTL, identify all types of AI decisions and outputs that are factors in the development, design, </w:t>
      </w:r>
      <w:r w:rsidR="002F5D71">
        <w:rPr>
          <w:rFonts w:ascii="Times New Roman" w:hAnsi="Times New Roman" w:cs="Times New Roman"/>
          <w:sz w:val="24"/>
          <w:szCs w:val="24"/>
        </w:rPr>
        <w:t xml:space="preserve">or implementation of the NQTL. </w:t>
      </w:r>
      <w:r w:rsidRPr="00801CF6">
        <w:rPr>
          <w:rFonts w:ascii="Times New Roman" w:hAnsi="Times New Roman" w:cs="Times New Roman"/>
          <w:sz w:val="24"/>
          <w:szCs w:val="24"/>
        </w:rPr>
        <w:t>Also identify the algorithms and training data (i.e.</w:t>
      </w:r>
      <w:r w:rsidR="00F04178">
        <w:rPr>
          <w:rFonts w:ascii="Times New Roman" w:hAnsi="Times New Roman" w:cs="Times New Roman"/>
          <w:sz w:val="24"/>
          <w:szCs w:val="24"/>
        </w:rPr>
        <w:t>,</w:t>
      </w:r>
      <w:r w:rsidRPr="00801CF6">
        <w:rPr>
          <w:rFonts w:ascii="Times New Roman" w:hAnsi="Times New Roman" w:cs="Times New Roman"/>
          <w:sz w:val="24"/>
          <w:szCs w:val="24"/>
        </w:rPr>
        <w:t xml:space="preserve"> the data that is fed to the system to </w:t>
      </w:r>
      <w:r w:rsidR="00646ED2">
        <w:rPr>
          <w:rFonts w:ascii="Times New Roman" w:hAnsi="Times New Roman" w:cs="Times New Roman"/>
          <w:sz w:val="24"/>
          <w:szCs w:val="24"/>
        </w:rPr>
        <w:t>“train”</w:t>
      </w:r>
      <w:r w:rsidRPr="00801CF6">
        <w:rPr>
          <w:rFonts w:ascii="Times New Roman" w:hAnsi="Times New Roman" w:cs="Times New Roman"/>
          <w:sz w:val="24"/>
          <w:szCs w:val="24"/>
        </w:rPr>
        <w:t xml:space="preserve"> the AI during the design/development phase) that are sources for the AI decisions.</w:t>
      </w:r>
    </w:p>
    <w:p w14:paraId="0D9ADA2A" w14:textId="7BB3A27E" w:rsidR="00E252D9" w:rsidRPr="0078489A" w:rsidRDefault="00E252D9" w:rsidP="006277DC">
      <w:pPr>
        <w:numPr>
          <w:ilvl w:val="0"/>
          <w:numId w:val="14"/>
        </w:numPr>
        <w:pBdr>
          <w:top w:val="nil"/>
          <w:left w:val="nil"/>
          <w:bottom w:val="nil"/>
          <w:right w:val="nil"/>
          <w:between w:val="nil"/>
        </w:pBdr>
        <w:rPr>
          <w:rFonts w:ascii="Times New Roman" w:hAnsi="Times New Roman" w:cs="Times New Roman"/>
          <w:sz w:val="24"/>
          <w:szCs w:val="24"/>
        </w:rPr>
      </w:pPr>
      <w:r w:rsidRPr="00801CF6">
        <w:rPr>
          <w:rFonts w:ascii="Times New Roman" w:eastAsia="Times New Roman" w:hAnsi="Times New Roman" w:cs="Times New Roman"/>
          <w:color w:val="000000"/>
          <w:sz w:val="24"/>
          <w:szCs w:val="24"/>
        </w:rPr>
        <w:lastRenderedPageBreak/>
        <w:t>The fact that all services</w:t>
      </w:r>
      <w:r w:rsidR="00F43B18">
        <w:rPr>
          <w:rFonts w:ascii="Times New Roman" w:eastAsia="Times New Roman" w:hAnsi="Times New Roman" w:cs="Times New Roman"/>
          <w:color w:val="000000"/>
          <w:sz w:val="24"/>
          <w:szCs w:val="24"/>
        </w:rPr>
        <w:t xml:space="preserve"> or treatments</w:t>
      </w:r>
      <w:r w:rsidRPr="00801CF6">
        <w:rPr>
          <w:rFonts w:ascii="Times New Roman" w:eastAsia="Times New Roman" w:hAnsi="Times New Roman" w:cs="Times New Roman"/>
          <w:color w:val="000000"/>
          <w:sz w:val="24"/>
          <w:szCs w:val="24"/>
        </w:rPr>
        <w:t xml:space="preserve"> in a particular classification or sub-classification are subject to the NQTL does not eliminate the requirement to identify the factors and sources for each factor.</w:t>
      </w:r>
    </w:p>
    <w:p w14:paraId="08B02E6A" w14:textId="2BEAC148" w:rsidR="00E252D9" w:rsidRPr="00801CF6" w:rsidRDefault="00E252D9" w:rsidP="00E252D9">
      <w:pPr>
        <w:pStyle w:val="Heading2"/>
        <w:ind w:left="0" w:firstLine="0"/>
        <w:rPr>
          <w:sz w:val="24"/>
          <w:szCs w:val="24"/>
        </w:rPr>
      </w:pPr>
      <w:bookmarkStart w:id="33" w:name="_Toc229123347"/>
      <w:bookmarkStart w:id="34" w:name="_Toc229123625"/>
      <w:r w:rsidRPr="00801CF6">
        <w:rPr>
          <w:b/>
          <w:sz w:val="24"/>
          <w:szCs w:val="24"/>
        </w:rPr>
        <w:t>Step 3</w:t>
      </w:r>
      <w:r w:rsidR="00B72F67">
        <w:rPr>
          <w:b/>
          <w:sz w:val="24"/>
          <w:szCs w:val="24"/>
        </w:rPr>
        <w:t>:</w:t>
      </w:r>
      <w:r w:rsidRPr="00801CF6">
        <w:rPr>
          <w:b/>
          <w:sz w:val="24"/>
          <w:szCs w:val="24"/>
        </w:rPr>
        <w:t xml:space="preserve"> Evidence for Each Factor</w:t>
      </w:r>
      <w:r w:rsidR="005870CE">
        <w:rPr>
          <w:b/>
          <w:sz w:val="24"/>
          <w:szCs w:val="24"/>
        </w:rPr>
        <w:t xml:space="preserve"> and Evidentiary Standard</w:t>
      </w:r>
      <w:bookmarkEnd w:id="33"/>
      <w:bookmarkEnd w:id="34"/>
    </w:p>
    <w:p w14:paraId="69E2C9DF" w14:textId="3CA30513" w:rsidR="00E252D9" w:rsidRPr="00801CF6" w:rsidRDefault="00971608" w:rsidP="00E252D9">
      <w:pPr>
        <w:spacing w:after="0" w:line="240"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Define each factor identified in Step 2.</w:t>
      </w:r>
      <w:r>
        <w:rPr>
          <w:rFonts w:ascii="Times New Roman" w:eastAsia="Times New Roman" w:hAnsi="Times New Roman" w:cs="Times New Roman"/>
          <w:sz w:val="24"/>
          <w:szCs w:val="24"/>
        </w:rPr>
        <w:t xml:space="preserve">  I</w:t>
      </w:r>
      <w:r w:rsidR="00E252D9" w:rsidRPr="00801CF6">
        <w:rPr>
          <w:rFonts w:ascii="Times New Roman" w:eastAsia="Times New Roman" w:hAnsi="Times New Roman" w:cs="Times New Roman"/>
          <w:sz w:val="24"/>
          <w:szCs w:val="24"/>
        </w:rPr>
        <w:t>dentify and define the specific evidentiary standard(s) for each of the factors identified in Step 2 and any other evidence relied upon to design and apply each NQTL.</w:t>
      </w:r>
      <w:r w:rsidR="00F75B54">
        <w:rPr>
          <w:rFonts w:ascii="Times New Roman" w:eastAsia="Times New Roman" w:hAnsi="Times New Roman" w:cs="Times New Roman"/>
          <w:sz w:val="24"/>
          <w:szCs w:val="24"/>
        </w:rPr>
        <w:t xml:space="preserve"> (§15-144(e)(2)).</w:t>
      </w:r>
    </w:p>
    <w:p w14:paraId="3C6758FD" w14:textId="042F484E" w:rsidR="00E252D9" w:rsidRPr="00801CF6" w:rsidRDefault="00E252D9" w:rsidP="00E252D9">
      <w:pPr>
        <w:spacing w:after="0" w:line="240" w:lineRule="auto"/>
        <w:ind w:left="0" w:firstLine="0"/>
        <w:rPr>
          <w:rFonts w:ascii="Times New Roman" w:eastAsia="Times New Roman" w:hAnsi="Times New Roman" w:cs="Times New Roman"/>
          <w:b/>
          <w:sz w:val="24"/>
          <w:szCs w:val="24"/>
        </w:rPr>
      </w:pPr>
    </w:p>
    <w:p w14:paraId="63CDA7BE" w14:textId="1D39F816" w:rsidR="00E252D9" w:rsidRPr="00801CF6" w:rsidRDefault="00971608" w:rsidP="00E252D9">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E252D9" w:rsidRPr="00801CF6">
        <w:rPr>
          <w:rFonts w:ascii="Times New Roman" w:eastAsia="Times New Roman" w:hAnsi="Times New Roman" w:cs="Times New Roman"/>
          <w:sz w:val="24"/>
          <w:szCs w:val="24"/>
        </w:rPr>
        <w:t>dentify, define, and provide the source</w:t>
      </w:r>
      <w:r w:rsidR="009826D8" w:rsidRPr="00801CF6">
        <w:rPr>
          <w:rFonts w:ascii="Times New Roman" w:eastAsia="Times New Roman" w:hAnsi="Times New Roman" w:cs="Times New Roman"/>
          <w:sz w:val="24"/>
          <w:szCs w:val="24"/>
        </w:rPr>
        <w:t>(s)</w:t>
      </w:r>
      <w:r w:rsidR="00E252D9" w:rsidRPr="00801CF6">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each</w:t>
      </w:r>
      <w:r w:rsidR="00E252D9" w:rsidRPr="00801CF6">
        <w:rPr>
          <w:rFonts w:ascii="Times New Roman" w:eastAsia="Times New Roman" w:hAnsi="Times New Roman" w:cs="Times New Roman"/>
          <w:sz w:val="24"/>
          <w:szCs w:val="24"/>
        </w:rPr>
        <w:t xml:space="preserve"> evidentiary standard and/or data source, and any other evidence relied upon, to determine that the NQTL</w:t>
      </w:r>
      <w:r w:rsidR="009C7D4B">
        <w:rPr>
          <w:rFonts w:ascii="Times New Roman" w:eastAsia="Times New Roman" w:hAnsi="Times New Roman" w:cs="Times New Roman"/>
          <w:sz w:val="24"/>
          <w:szCs w:val="24"/>
        </w:rPr>
        <w:t xml:space="preserve"> applies</w:t>
      </w:r>
      <w:r w:rsidR="00E252D9" w:rsidRPr="00801CF6">
        <w:rPr>
          <w:rFonts w:ascii="Times New Roman" w:eastAsia="Times New Roman" w:hAnsi="Times New Roman" w:cs="Times New Roman"/>
          <w:sz w:val="24"/>
          <w:szCs w:val="24"/>
        </w:rPr>
        <w:t xml:space="preserve"> to MH/SUD and </w:t>
      </w:r>
      <w:r w:rsidR="00FA3D0B" w:rsidRPr="00801CF6">
        <w:rPr>
          <w:rFonts w:ascii="Times New Roman" w:eastAsia="Times New Roman" w:hAnsi="Times New Roman" w:cs="Times New Roman"/>
          <w:color w:val="000000"/>
          <w:sz w:val="24"/>
          <w:szCs w:val="24"/>
        </w:rPr>
        <w:t>medical/surgical</w:t>
      </w:r>
      <w:r w:rsidR="00E252D9" w:rsidRPr="00801CF6">
        <w:rPr>
          <w:rFonts w:ascii="Times New Roman" w:eastAsia="Times New Roman" w:hAnsi="Times New Roman" w:cs="Times New Roman"/>
          <w:sz w:val="24"/>
          <w:szCs w:val="24"/>
        </w:rPr>
        <w:t xml:space="preserve"> services. Include responses in the applicable cells in the </w:t>
      </w:r>
      <w:r w:rsidR="0060281A">
        <w:rPr>
          <w:rFonts w:ascii="Times New Roman" w:eastAsia="Times New Roman" w:hAnsi="Times New Roman" w:cs="Times New Roman"/>
          <w:sz w:val="24"/>
          <w:szCs w:val="24"/>
        </w:rPr>
        <w:t>table</w:t>
      </w:r>
      <w:r w:rsidR="00E252D9" w:rsidRPr="00801CF6">
        <w:rPr>
          <w:rFonts w:ascii="Times New Roman" w:eastAsia="Times New Roman" w:hAnsi="Times New Roman" w:cs="Times New Roman"/>
          <w:sz w:val="24"/>
          <w:szCs w:val="24"/>
        </w:rPr>
        <w:t xml:space="preserve"> provided on the </w:t>
      </w:r>
      <w:r w:rsidR="009C7D4B">
        <w:rPr>
          <w:rFonts w:ascii="Times New Roman" w:eastAsia="Times New Roman" w:hAnsi="Times New Roman" w:cs="Times New Roman"/>
          <w:sz w:val="24"/>
          <w:szCs w:val="24"/>
        </w:rPr>
        <w:t xml:space="preserve">NQTL Analysis Report </w:t>
      </w:r>
      <w:r w:rsidR="00F75B54">
        <w:rPr>
          <w:rFonts w:ascii="Times New Roman" w:eastAsia="Times New Roman" w:hAnsi="Times New Roman" w:cs="Times New Roman"/>
          <w:sz w:val="24"/>
          <w:szCs w:val="24"/>
        </w:rPr>
        <w:t>T</w:t>
      </w:r>
      <w:r w:rsidR="0060281A">
        <w:rPr>
          <w:rFonts w:ascii="Times New Roman" w:eastAsia="Times New Roman" w:hAnsi="Times New Roman" w:cs="Times New Roman"/>
          <w:sz w:val="24"/>
          <w:szCs w:val="24"/>
        </w:rPr>
        <w:t>emplate</w:t>
      </w:r>
      <w:r w:rsidR="00E252D9" w:rsidRPr="00801CF6">
        <w:rPr>
          <w:rFonts w:ascii="Times New Roman" w:eastAsia="Times New Roman" w:hAnsi="Times New Roman" w:cs="Times New Roman"/>
          <w:sz w:val="24"/>
          <w:szCs w:val="24"/>
        </w:rPr>
        <w:t xml:space="preserve">.  Number each factor and corresponding evidentiary standard and source to clearly identify the factors, evidentiary standards, and sources that go together. </w:t>
      </w:r>
    </w:p>
    <w:p w14:paraId="089AAE81" w14:textId="77777777" w:rsidR="005870CE" w:rsidRDefault="00E252D9" w:rsidP="00E252D9">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In some circumstances, the sources listed for an evidentiary standard in Step 3 may be identical to the sources identified for the underlying factor for the evidentiary standard in Step 2.  However, it is generally expected that the sources listed for the evidentiary standards in Step 3 will be more specific than the sources listed for the factors in Step 2.  </w:t>
      </w:r>
    </w:p>
    <w:p w14:paraId="63A908F3" w14:textId="21FF4492" w:rsidR="00E252D9" w:rsidRPr="00801CF6" w:rsidRDefault="00E252D9" w:rsidP="00E252D9">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The sources identified in Step 3 </w:t>
      </w:r>
      <w:r w:rsidR="002A3588">
        <w:rPr>
          <w:rFonts w:ascii="Times New Roman" w:eastAsia="Times New Roman" w:hAnsi="Times New Roman" w:cs="Times New Roman"/>
          <w:sz w:val="24"/>
          <w:szCs w:val="24"/>
        </w:rPr>
        <w:t>are</w:t>
      </w:r>
      <w:r w:rsidRPr="00801CF6">
        <w:rPr>
          <w:rFonts w:ascii="Times New Roman" w:eastAsia="Times New Roman" w:hAnsi="Times New Roman" w:cs="Times New Roman"/>
          <w:sz w:val="24"/>
          <w:szCs w:val="24"/>
        </w:rPr>
        <w:t xml:space="preserve"> the sources used to establish the specific threshold or definition for the evidentiary standard.  For example, if “excessive utilization” is a factor, the source identified in Step 2 may be “internal claims analysis.” If the corresponding evidentiary standard in Step 3 is “utilization that is two standard deviations above average utilization per episode of care,” the source listed in Step 3 would be the particular guideline/article/best practice </w:t>
      </w:r>
      <w:r w:rsidR="00F75B54">
        <w:rPr>
          <w:rFonts w:ascii="Times New Roman" w:eastAsia="Times New Roman" w:hAnsi="Times New Roman" w:cs="Times New Roman"/>
          <w:sz w:val="24"/>
          <w:szCs w:val="24"/>
        </w:rPr>
        <w:t xml:space="preserve">or other source </w:t>
      </w:r>
      <w:r w:rsidRPr="00801CF6">
        <w:rPr>
          <w:rFonts w:ascii="Times New Roman" w:eastAsia="Times New Roman" w:hAnsi="Times New Roman" w:cs="Times New Roman"/>
          <w:sz w:val="24"/>
          <w:szCs w:val="24"/>
        </w:rPr>
        <w:t>that established that threshold.</w:t>
      </w:r>
    </w:p>
    <w:p w14:paraId="66C945D1" w14:textId="60BD649E" w:rsidR="00E252D9" w:rsidRPr="00801CF6" w:rsidRDefault="00E252D9" w:rsidP="00E252D9">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If the factors or evidentiary standards/sources are the same across any benefit classifications/sub-classifications, include a note to this effect instead of repeating all factors and evidentiary standards/sources.  For example, the evidentiary standards cell for a certain classification may state: “Same as evidentiary standards for In</w:t>
      </w:r>
      <w:r w:rsidR="00F75B54">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Network</w:t>
      </w:r>
      <w:r w:rsidR="00F75B54">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Outpatient-Office” or “evidentiary standard 3 for In</w:t>
      </w:r>
      <w:r w:rsidR="00F75B54">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Network</w:t>
      </w:r>
      <w:r w:rsidR="00F75B54">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Outpatient-Office also applies to this classification.”</w:t>
      </w:r>
    </w:p>
    <w:p w14:paraId="52884036" w14:textId="77777777" w:rsidR="00E252D9" w:rsidRPr="00801CF6" w:rsidRDefault="00E252D9" w:rsidP="00E252D9">
      <w:pPr>
        <w:numPr>
          <w:ilvl w:val="0"/>
          <w:numId w:val="7"/>
        </w:numPr>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Using vague and subjective terms (such as “cost-effective” or “excessive”) within the definitions for factors is not sufficient, unless those terms are further defined with precise parameters identifying the applicable sources and evidentiary standards.</w:t>
      </w:r>
    </w:p>
    <w:p w14:paraId="501436ED" w14:textId="77777777" w:rsidR="00E252D9" w:rsidRPr="00801CF6" w:rsidRDefault="00E252D9" w:rsidP="00E252D9">
      <w:pPr>
        <w:numPr>
          <w:ilvl w:val="0"/>
          <w:numId w:val="7"/>
        </w:numPr>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Identify any threshold or quantitative evidentiary standard at which each factor will implicate the NQTL.  </w:t>
      </w:r>
    </w:p>
    <w:p w14:paraId="05D3A665" w14:textId="77777777" w:rsidR="00E252D9" w:rsidRPr="00801CF6" w:rsidRDefault="00E252D9" w:rsidP="00E252D9">
      <w:pPr>
        <w:numPr>
          <w:ilvl w:val="0"/>
          <w:numId w:val="7"/>
        </w:numPr>
        <w:spacing w:after="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Examples of how factors identified based on evidentiary standards may be defined to set applicable thresholds for NQTLs include, but are not limited to: </w:t>
      </w:r>
    </w:p>
    <w:p w14:paraId="23A31E53" w14:textId="77777777" w:rsidR="00E252D9" w:rsidRPr="00801CF6" w:rsidRDefault="00E252D9" w:rsidP="00E252D9">
      <w:pPr>
        <w:spacing w:after="0"/>
        <w:ind w:firstLine="0"/>
        <w:rPr>
          <w:rFonts w:ascii="Times New Roman" w:eastAsia="Times New Roman" w:hAnsi="Times New Roman" w:cs="Times New Roman"/>
          <w:sz w:val="24"/>
          <w:szCs w:val="24"/>
        </w:rPr>
      </w:pPr>
    </w:p>
    <w:p w14:paraId="43CF2161" w14:textId="7E81F947" w:rsidR="00E252D9" w:rsidRPr="00801CF6" w:rsidRDefault="00E252D9" w:rsidP="00E252D9">
      <w:pPr>
        <w:numPr>
          <w:ilvl w:val="1"/>
          <w:numId w:val="7"/>
        </w:numPr>
        <w:spacing w:after="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Excessive utilization may be considered as a factor to design the NQTL when utilization is two standard deviations above average utilization per episode of care</w:t>
      </w:r>
      <w:r w:rsidR="00646ED2">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w:t>
      </w:r>
    </w:p>
    <w:p w14:paraId="7C406E29" w14:textId="77777777" w:rsidR="00E252D9" w:rsidRPr="00801CF6" w:rsidRDefault="00E252D9" w:rsidP="00E252D9">
      <w:pPr>
        <w:spacing w:after="0"/>
        <w:ind w:left="1440" w:firstLine="0"/>
        <w:rPr>
          <w:rFonts w:ascii="Times New Roman" w:eastAsia="Times New Roman" w:hAnsi="Times New Roman" w:cs="Times New Roman"/>
          <w:sz w:val="24"/>
          <w:szCs w:val="24"/>
        </w:rPr>
      </w:pPr>
    </w:p>
    <w:p w14:paraId="1B0B61DB" w14:textId="00D5F136" w:rsidR="00E252D9" w:rsidRPr="00801CF6" w:rsidRDefault="00E252D9" w:rsidP="00E252D9">
      <w:pPr>
        <w:numPr>
          <w:ilvl w:val="1"/>
          <w:numId w:val="7"/>
        </w:numPr>
        <w:spacing w:after="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lastRenderedPageBreak/>
        <w:t>Lack of adherence to quality standards may be considered as a factor when deviation from generally accepted national quality standards for a specific disease category occurs more than 30% of the time based on clinical chart reviews</w:t>
      </w:r>
      <w:r w:rsidR="00646ED2">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w:t>
      </w:r>
    </w:p>
    <w:p w14:paraId="1EB5C855" w14:textId="77777777" w:rsidR="00E252D9" w:rsidRPr="00801CF6" w:rsidRDefault="00E252D9" w:rsidP="00E252D9">
      <w:pPr>
        <w:spacing w:after="0"/>
        <w:ind w:left="0" w:firstLine="0"/>
        <w:rPr>
          <w:rFonts w:ascii="Times New Roman" w:eastAsia="Times New Roman" w:hAnsi="Times New Roman" w:cs="Times New Roman"/>
          <w:sz w:val="24"/>
          <w:szCs w:val="24"/>
        </w:rPr>
      </w:pPr>
    </w:p>
    <w:p w14:paraId="3ED31A14" w14:textId="13D922DB" w:rsidR="00E252D9" w:rsidRDefault="00E252D9" w:rsidP="00E252D9">
      <w:pPr>
        <w:numPr>
          <w:ilvl w:val="1"/>
          <w:numId w:val="7"/>
        </w:numPr>
        <w:spacing w:after="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High level of variation in length of stay may be considered as a factor when claims data shows that 25% of patients stayed longer than the median length of stay for acute hospital episodes of care</w:t>
      </w:r>
      <w:r w:rsidR="00646ED2">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w:t>
      </w:r>
    </w:p>
    <w:p w14:paraId="19C77D85" w14:textId="358713C0" w:rsidR="00A04FED" w:rsidRPr="00801CF6" w:rsidRDefault="00A04FED" w:rsidP="00A04FED">
      <w:pPr>
        <w:spacing w:after="0"/>
        <w:ind w:left="0" w:firstLine="0"/>
        <w:rPr>
          <w:rFonts w:ascii="Times New Roman" w:eastAsia="Times New Roman" w:hAnsi="Times New Roman" w:cs="Times New Roman"/>
          <w:sz w:val="24"/>
          <w:szCs w:val="24"/>
        </w:rPr>
      </w:pPr>
    </w:p>
    <w:p w14:paraId="1E30020B" w14:textId="77777777" w:rsidR="00E252D9" w:rsidRPr="00801CF6" w:rsidRDefault="00E252D9" w:rsidP="00E252D9">
      <w:pPr>
        <w:numPr>
          <w:ilvl w:val="1"/>
          <w:numId w:val="7"/>
        </w:numPr>
        <w:spacing w:after="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Lack of clinical efficacy may be considered as a factor when more than 50 percent of outpatient episodes of care for specific diseases are not based on evidence-based interventions (as defined by nationally accepted best practices) in a 12-month sample of claims data.</w:t>
      </w:r>
    </w:p>
    <w:p w14:paraId="32CB277B" w14:textId="77777777" w:rsidR="00E252D9" w:rsidRPr="00801CF6" w:rsidRDefault="00E252D9" w:rsidP="00E252D9">
      <w:pPr>
        <w:spacing w:after="0"/>
        <w:ind w:left="0" w:firstLine="0"/>
        <w:rPr>
          <w:rFonts w:ascii="Times New Roman" w:eastAsia="Times New Roman" w:hAnsi="Times New Roman" w:cs="Times New Roman"/>
          <w:sz w:val="24"/>
          <w:szCs w:val="24"/>
        </w:rPr>
      </w:pPr>
    </w:p>
    <w:p w14:paraId="73B26E1B" w14:textId="77777777" w:rsidR="005870CE" w:rsidRDefault="00E252D9" w:rsidP="00E252D9">
      <w:pPr>
        <w:numPr>
          <w:ilvl w:val="0"/>
          <w:numId w:val="5"/>
        </w:numPr>
        <w:spacing w:after="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Clear thresholds are critical to demonstrating comparability and relative stringency</w:t>
      </w:r>
      <w:r w:rsidRPr="00801CF6">
        <w:rPr>
          <w:rFonts w:ascii="Times New Roman" w:hAnsi="Times New Roman" w:cs="Times New Roman"/>
          <w:sz w:val="24"/>
          <w:szCs w:val="24"/>
        </w:rPr>
        <w:t xml:space="preserve"> </w:t>
      </w:r>
      <w:r w:rsidRPr="00801CF6">
        <w:rPr>
          <w:rFonts w:ascii="Times New Roman" w:eastAsia="Times New Roman" w:hAnsi="Times New Roman" w:cs="Times New Roman"/>
          <w:sz w:val="24"/>
          <w:szCs w:val="24"/>
        </w:rPr>
        <w:t xml:space="preserve">for comparative analyses required in Step 4 and Step 5.  If specific thresholds are not used to determine when the factor will implicate the NQTL, a specific, detailed, and reasoned explanation of how the carrier ensures the factors are being applied comparably and no more stringently to MH/SUD services must be provided.  </w:t>
      </w:r>
    </w:p>
    <w:p w14:paraId="0C024C90" w14:textId="77777777" w:rsidR="005870CE" w:rsidRDefault="005870CE" w:rsidP="009C4821">
      <w:pPr>
        <w:spacing w:after="0"/>
        <w:ind w:firstLine="0"/>
        <w:rPr>
          <w:rFonts w:ascii="Times New Roman" w:eastAsia="Times New Roman" w:hAnsi="Times New Roman" w:cs="Times New Roman"/>
          <w:sz w:val="24"/>
          <w:szCs w:val="24"/>
        </w:rPr>
      </w:pPr>
    </w:p>
    <w:p w14:paraId="36B6581A" w14:textId="1AD582A9" w:rsidR="00E252D9" w:rsidRPr="00801CF6" w:rsidRDefault="00E252D9" w:rsidP="00E252D9">
      <w:pPr>
        <w:numPr>
          <w:ilvl w:val="0"/>
          <w:numId w:val="5"/>
        </w:numPr>
        <w:spacing w:after="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In accordance with § 15-144(j)(3), the Commissioner may require the carrier to establish specific quantitative thresholds, if appropriate, if the carrier fails to provide a sufficiently reasoned explanation of comparability and relative stringency.</w:t>
      </w:r>
    </w:p>
    <w:p w14:paraId="0C5E9CB0" w14:textId="77777777" w:rsidR="00E252D9" w:rsidRPr="00801CF6" w:rsidRDefault="00E252D9" w:rsidP="00E252D9">
      <w:pPr>
        <w:spacing w:after="0"/>
        <w:ind w:firstLine="0"/>
        <w:rPr>
          <w:rFonts w:ascii="Times New Roman" w:eastAsia="Times New Roman" w:hAnsi="Times New Roman" w:cs="Times New Roman"/>
          <w:sz w:val="24"/>
          <w:szCs w:val="24"/>
        </w:rPr>
      </w:pPr>
    </w:p>
    <w:p w14:paraId="24ADCB1B" w14:textId="77777777" w:rsidR="00E252D9" w:rsidRPr="00801CF6" w:rsidRDefault="00E252D9" w:rsidP="00E252D9">
      <w:pPr>
        <w:numPr>
          <w:ilvl w:val="0"/>
          <w:numId w:val="5"/>
        </w:numPr>
        <w:spacing w:after="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Evidentiary standards and processes that a carrier relies on may include any evidence that a carrier considers in developing its medical management techniques, including internal carrier standards, recognized medical literature and professional standards and protocols (such as comparative effectiveness studies and clinical trials), published research studies, treatment guidelines created by professional medical associations or other third-party entities, publicly available or proprietary clinical definitions, and outcome metrics from consulting or other organizations.</w:t>
      </w:r>
    </w:p>
    <w:p w14:paraId="3A558301" w14:textId="77777777" w:rsidR="00E252D9" w:rsidRPr="00801CF6" w:rsidRDefault="00E252D9" w:rsidP="00E252D9">
      <w:pPr>
        <w:spacing w:after="0"/>
        <w:ind w:left="0" w:firstLine="0"/>
        <w:rPr>
          <w:rFonts w:ascii="Times New Roman" w:eastAsia="Times New Roman" w:hAnsi="Times New Roman" w:cs="Times New Roman"/>
          <w:sz w:val="24"/>
          <w:szCs w:val="24"/>
        </w:rPr>
      </w:pPr>
    </w:p>
    <w:p w14:paraId="7D8FA00A" w14:textId="02BDCFA8" w:rsidR="00E252D9" w:rsidRPr="00801CF6" w:rsidRDefault="00E252D9" w:rsidP="00E252D9">
      <w:pPr>
        <w:numPr>
          <w:ilvl w:val="0"/>
          <w:numId w:val="5"/>
        </w:numPr>
        <w:spacing w:after="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If a source such as </w:t>
      </w:r>
      <w:r w:rsidR="00E77373">
        <w:rPr>
          <w:rFonts w:ascii="Times New Roman" w:eastAsia="Times New Roman" w:hAnsi="Times New Roman" w:cs="Times New Roman"/>
          <w:sz w:val="24"/>
          <w:szCs w:val="24"/>
        </w:rPr>
        <w:t>the National Committee for Quality Assurance (</w:t>
      </w:r>
      <w:r w:rsidRPr="00801CF6">
        <w:rPr>
          <w:rFonts w:ascii="Times New Roman" w:eastAsia="Times New Roman" w:hAnsi="Times New Roman" w:cs="Times New Roman"/>
          <w:sz w:val="24"/>
          <w:szCs w:val="24"/>
        </w:rPr>
        <w:t>NCQA</w:t>
      </w:r>
      <w:r w:rsidR="00E77373">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is used in determining comparability, the standards for that source and any analyses developed internally or provided to NCQA or other external agencies must be provided.  NCQA standards for health plan accreditation are a roadmap for improvement, for use by organizations to perform a gap analysis and align improvement activities with areas that are most important to states and employers, such as network adequacy and consumer protection. However, using the standards for accreditation does not imply compliance with </w:t>
      </w:r>
      <w:r w:rsidR="009B10A7">
        <w:rPr>
          <w:rFonts w:ascii="Times New Roman" w:eastAsia="Times New Roman" w:hAnsi="Times New Roman" w:cs="Times New Roman"/>
          <w:sz w:val="24"/>
          <w:szCs w:val="24"/>
        </w:rPr>
        <w:t>the Parity Act</w:t>
      </w:r>
      <w:r w:rsidRPr="00801CF6">
        <w:rPr>
          <w:rFonts w:ascii="Times New Roman" w:eastAsia="Times New Roman" w:hAnsi="Times New Roman" w:cs="Times New Roman"/>
          <w:sz w:val="24"/>
          <w:szCs w:val="24"/>
        </w:rPr>
        <w:t xml:space="preserve"> in terms of comparability</w:t>
      </w:r>
      <w:r w:rsidR="00567D4E">
        <w:rPr>
          <w:rFonts w:ascii="Times New Roman" w:eastAsia="Times New Roman" w:hAnsi="Times New Roman" w:cs="Times New Roman"/>
          <w:sz w:val="24"/>
          <w:szCs w:val="24"/>
        </w:rPr>
        <w:t>.</w:t>
      </w:r>
    </w:p>
    <w:p w14:paraId="09FBA84E" w14:textId="77777777" w:rsidR="00E252D9" w:rsidRPr="00801CF6" w:rsidRDefault="00E252D9" w:rsidP="00E252D9">
      <w:pPr>
        <w:spacing w:after="0"/>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   </w:t>
      </w:r>
    </w:p>
    <w:p w14:paraId="167477CE" w14:textId="42A28751" w:rsidR="00E252D9" w:rsidRPr="00801CF6" w:rsidRDefault="00E252D9" w:rsidP="0038708F">
      <w:pPr>
        <w:ind w:left="360" w:firstLine="0"/>
        <w:rPr>
          <w:rFonts w:ascii="Times New Roman" w:eastAsia="Times New Roman" w:hAnsi="Times New Roman" w:cs="Times New Roman"/>
          <w:b/>
          <w:sz w:val="24"/>
          <w:szCs w:val="24"/>
        </w:rPr>
      </w:pPr>
      <w:r w:rsidRPr="00801CF6">
        <w:rPr>
          <w:rFonts w:ascii="Times New Roman" w:eastAsia="Times New Roman" w:hAnsi="Times New Roman" w:cs="Times New Roman"/>
          <w:sz w:val="24"/>
          <w:szCs w:val="24"/>
        </w:rPr>
        <w:t>Failure to include all of the information described in the instructions for Step 3 will result in a finding that a carrier failed to submit a complete analysis report and may result in the actions specified in § 15-144(j).</w:t>
      </w:r>
    </w:p>
    <w:p w14:paraId="0D24C78C" w14:textId="2A21816A" w:rsidR="00E252D9" w:rsidRPr="00801CF6" w:rsidRDefault="00E252D9" w:rsidP="00ED16CC">
      <w:pPr>
        <w:pStyle w:val="Heading2"/>
        <w:spacing w:after="0"/>
        <w:ind w:left="0" w:firstLine="0"/>
        <w:rPr>
          <w:sz w:val="24"/>
          <w:szCs w:val="24"/>
        </w:rPr>
      </w:pPr>
      <w:bookmarkStart w:id="35" w:name="_Toc229123348"/>
      <w:bookmarkStart w:id="36" w:name="_Toc229123626"/>
      <w:r w:rsidRPr="00801CF6">
        <w:rPr>
          <w:b/>
          <w:sz w:val="24"/>
          <w:szCs w:val="24"/>
        </w:rPr>
        <w:lastRenderedPageBreak/>
        <w:t>Step 4</w:t>
      </w:r>
      <w:r w:rsidR="00A04FED">
        <w:rPr>
          <w:b/>
          <w:sz w:val="24"/>
          <w:szCs w:val="24"/>
        </w:rPr>
        <w:t>:</w:t>
      </w:r>
      <w:r w:rsidRPr="00801CF6">
        <w:rPr>
          <w:b/>
          <w:sz w:val="24"/>
          <w:szCs w:val="24"/>
        </w:rPr>
        <w:t xml:space="preserve"> Comparable Written Policies</w:t>
      </w:r>
      <w:bookmarkEnd w:id="35"/>
      <w:bookmarkEnd w:id="36"/>
    </w:p>
    <w:p w14:paraId="5707F1B1" w14:textId="77777777" w:rsidR="00E252D9" w:rsidRPr="00801CF6" w:rsidRDefault="00E252D9" w:rsidP="00E252D9">
      <w:pPr>
        <w:spacing w:after="0" w:line="240" w:lineRule="auto"/>
        <w:ind w:left="0" w:firstLine="0"/>
        <w:rPr>
          <w:rFonts w:ascii="Times New Roman" w:eastAsia="Times New Roman" w:hAnsi="Times New Roman" w:cs="Times New Roman"/>
          <w:sz w:val="24"/>
          <w:szCs w:val="24"/>
        </w:rPr>
      </w:pPr>
    </w:p>
    <w:p w14:paraId="66CFF71A" w14:textId="18E606A6" w:rsidR="00E252D9" w:rsidRPr="00801CF6" w:rsidRDefault="00E252D9" w:rsidP="00E252D9">
      <w:pPr>
        <w:spacing w:after="0" w:line="240"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Provide the comparative analyses performed and relied on to determine whether each NQTL is comparable to and no more stringently designed and applied</w:t>
      </w:r>
      <w:r w:rsidR="00E77373">
        <w:rPr>
          <w:rFonts w:ascii="Times New Roman" w:eastAsia="Times New Roman" w:hAnsi="Times New Roman" w:cs="Times New Roman"/>
          <w:sz w:val="24"/>
          <w:szCs w:val="24"/>
        </w:rPr>
        <w:t xml:space="preserve"> to MH/SUD</w:t>
      </w:r>
      <w:r w:rsidR="009B10A7">
        <w:rPr>
          <w:rFonts w:ascii="Times New Roman" w:eastAsia="Times New Roman" w:hAnsi="Times New Roman" w:cs="Times New Roman"/>
          <w:sz w:val="24"/>
          <w:szCs w:val="24"/>
        </w:rPr>
        <w:t xml:space="preserve"> benefits</w:t>
      </w:r>
      <w:r w:rsidR="00E77373">
        <w:rPr>
          <w:rFonts w:ascii="Times New Roman" w:eastAsia="Times New Roman" w:hAnsi="Times New Roman" w:cs="Times New Roman"/>
          <w:sz w:val="24"/>
          <w:szCs w:val="24"/>
        </w:rPr>
        <w:t xml:space="preserve"> compared to medical/surgical</w:t>
      </w:r>
      <w:r w:rsidR="009B10A7">
        <w:rPr>
          <w:rFonts w:ascii="Times New Roman" w:eastAsia="Times New Roman" w:hAnsi="Times New Roman" w:cs="Times New Roman"/>
          <w:sz w:val="24"/>
          <w:szCs w:val="24"/>
        </w:rPr>
        <w:t xml:space="preserve"> benefits</w:t>
      </w:r>
      <w:r w:rsidRPr="00801CF6">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u w:val="single"/>
        </w:rPr>
        <w:t>as written</w:t>
      </w:r>
      <w:r w:rsidRPr="00801CF6">
        <w:rPr>
          <w:rFonts w:ascii="Times New Roman" w:eastAsia="Times New Roman" w:hAnsi="Times New Roman" w:cs="Times New Roman"/>
          <w:sz w:val="24"/>
          <w:szCs w:val="24"/>
        </w:rPr>
        <w:t>.  The comparative analyses include</w:t>
      </w:r>
      <w:r w:rsidR="0030673E">
        <w:rPr>
          <w:rFonts w:ascii="Times New Roman" w:eastAsia="Times New Roman" w:hAnsi="Times New Roman" w:cs="Times New Roman"/>
          <w:sz w:val="24"/>
          <w:szCs w:val="24"/>
        </w:rPr>
        <w:t>s</w:t>
      </w:r>
      <w:r w:rsidRPr="00801CF6">
        <w:rPr>
          <w:rFonts w:ascii="Times New Roman" w:eastAsia="Times New Roman" w:hAnsi="Times New Roman" w:cs="Times New Roman"/>
          <w:sz w:val="24"/>
          <w:szCs w:val="24"/>
        </w:rPr>
        <w:t xml:space="preserve"> the results of any audits</w:t>
      </w:r>
      <w:r w:rsidR="0030673E">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reviews,</w:t>
      </w:r>
      <w:r w:rsidR="0030673E">
        <w:rPr>
          <w:rFonts w:ascii="Times New Roman" w:eastAsia="Times New Roman" w:hAnsi="Times New Roman" w:cs="Times New Roman"/>
          <w:sz w:val="24"/>
          <w:szCs w:val="24"/>
        </w:rPr>
        <w:t xml:space="preserve"> and analyses,</w:t>
      </w:r>
      <w:r w:rsidRPr="00801CF6">
        <w:rPr>
          <w:rFonts w:ascii="Times New Roman" w:eastAsia="Times New Roman" w:hAnsi="Times New Roman" w:cs="Times New Roman"/>
          <w:sz w:val="24"/>
          <w:szCs w:val="24"/>
        </w:rPr>
        <w:t xml:space="preserve"> and an explanation of the methodolog</w:t>
      </w:r>
      <w:r w:rsidR="00E77373">
        <w:rPr>
          <w:rFonts w:ascii="Times New Roman" w:eastAsia="Times New Roman" w:hAnsi="Times New Roman" w:cs="Times New Roman"/>
          <w:sz w:val="24"/>
          <w:szCs w:val="24"/>
        </w:rPr>
        <w:t>ies</w:t>
      </w:r>
      <w:r w:rsidRPr="00801CF6">
        <w:rPr>
          <w:rFonts w:ascii="Times New Roman" w:eastAsia="Times New Roman" w:hAnsi="Times New Roman" w:cs="Times New Roman"/>
          <w:sz w:val="24"/>
          <w:szCs w:val="24"/>
        </w:rPr>
        <w:t>. (§15-144(e)(3)).</w:t>
      </w:r>
    </w:p>
    <w:p w14:paraId="53479E8C" w14:textId="77777777" w:rsidR="00E252D9" w:rsidRPr="00801CF6" w:rsidRDefault="00E252D9" w:rsidP="00E252D9">
      <w:pPr>
        <w:widowControl w:val="0"/>
        <w:spacing w:after="100" w:line="240"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w:t>
      </w:r>
    </w:p>
    <w:p w14:paraId="7D9A5598" w14:textId="77777777" w:rsidR="00E252D9" w:rsidRPr="00801CF6" w:rsidRDefault="00E252D9" w:rsidP="006277DC">
      <w:pPr>
        <w:widowControl w:val="0"/>
        <w:numPr>
          <w:ilvl w:val="0"/>
          <w:numId w:val="18"/>
        </w:numPr>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Conclusory statements that the carrier determined that its processes were comparable and no more stringently applied, without additional explanation of the analysis leading to that conclusion, are not sufficient.  Documentation must be provided that a comparative analysis was actually performed, and a clear explanation of the methodology must be included.</w:t>
      </w:r>
    </w:p>
    <w:p w14:paraId="24D2A846" w14:textId="77777777" w:rsidR="00E252D9" w:rsidRPr="00801CF6" w:rsidRDefault="00E252D9" w:rsidP="00E252D9">
      <w:pPr>
        <w:widowControl w:val="0"/>
        <w:spacing w:after="0" w:line="240" w:lineRule="auto"/>
        <w:rPr>
          <w:rFonts w:ascii="Times New Roman" w:eastAsia="Times New Roman" w:hAnsi="Times New Roman" w:cs="Times New Roman"/>
          <w:sz w:val="24"/>
          <w:szCs w:val="24"/>
        </w:rPr>
      </w:pPr>
    </w:p>
    <w:p w14:paraId="408E493D" w14:textId="6DDCD841" w:rsidR="00E252D9" w:rsidRPr="00801CF6" w:rsidRDefault="00E252D9" w:rsidP="006277DC">
      <w:pPr>
        <w:widowControl w:val="0"/>
        <w:numPr>
          <w:ilvl w:val="0"/>
          <w:numId w:val="18"/>
        </w:numPr>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Indicate how the factors, as defined and explained by the evidentiary standards identified in Step 2 and Step 3, are applied comparably to establish the written policy </w:t>
      </w:r>
      <w:r w:rsidR="0030673E">
        <w:rPr>
          <w:rFonts w:ascii="Times New Roman" w:eastAsia="Times New Roman" w:hAnsi="Times New Roman" w:cs="Times New Roman"/>
          <w:sz w:val="24"/>
          <w:szCs w:val="24"/>
        </w:rPr>
        <w:t>for determining</w:t>
      </w:r>
      <w:r w:rsidRPr="00801CF6">
        <w:rPr>
          <w:rFonts w:ascii="Times New Roman" w:eastAsia="Times New Roman" w:hAnsi="Times New Roman" w:cs="Times New Roman"/>
          <w:sz w:val="24"/>
          <w:szCs w:val="24"/>
        </w:rPr>
        <w:t xml:space="preserve"> which services</w:t>
      </w:r>
      <w:r w:rsidR="0030673E">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rPr>
        <w:t xml:space="preserve">MH/SUD and </w:t>
      </w:r>
      <w:r w:rsidR="00FA3D0B" w:rsidRPr="00801CF6">
        <w:rPr>
          <w:rFonts w:ascii="Times New Roman" w:eastAsia="Times New Roman" w:hAnsi="Times New Roman" w:cs="Times New Roman"/>
          <w:color w:val="000000"/>
          <w:sz w:val="24"/>
          <w:szCs w:val="24"/>
        </w:rPr>
        <w:t>medical/surgical</w:t>
      </w:r>
      <w:r w:rsidR="0030673E">
        <w:rPr>
          <w:rFonts w:ascii="Times New Roman" w:eastAsia="Times New Roman" w:hAnsi="Times New Roman" w:cs="Times New Roman"/>
          <w:color w:val="000000"/>
          <w:sz w:val="24"/>
          <w:szCs w:val="24"/>
        </w:rPr>
        <w:t>)</w:t>
      </w:r>
      <w:r w:rsidRPr="00801CF6">
        <w:rPr>
          <w:rFonts w:ascii="Times New Roman" w:eastAsia="Times New Roman" w:hAnsi="Times New Roman" w:cs="Times New Roman"/>
          <w:sz w:val="24"/>
          <w:szCs w:val="24"/>
        </w:rPr>
        <w:t xml:space="preserve"> are subject to the NQTL. </w:t>
      </w:r>
    </w:p>
    <w:p w14:paraId="2D9C91C3" w14:textId="77777777" w:rsidR="00E252D9" w:rsidRPr="00801CF6" w:rsidRDefault="00E252D9" w:rsidP="00E252D9">
      <w:pPr>
        <w:widowControl w:val="0"/>
        <w:spacing w:after="0" w:line="240" w:lineRule="auto"/>
        <w:rPr>
          <w:rFonts w:ascii="Times New Roman" w:eastAsia="Times New Roman" w:hAnsi="Times New Roman" w:cs="Times New Roman"/>
          <w:sz w:val="24"/>
          <w:szCs w:val="24"/>
        </w:rPr>
      </w:pPr>
    </w:p>
    <w:p w14:paraId="6A90AF31" w14:textId="00C49B45" w:rsidR="00E252D9" w:rsidRPr="00801CF6" w:rsidRDefault="00E252D9" w:rsidP="006277DC">
      <w:pPr>
        <w:widowControl w:val="0"/>
        <w:numPr>
          <w:ilvl w:val="0"/>
          <w:numId w:val="18"/>
        </w:numPr>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Explain how the factors are defined and applied </w:t>
      </w:r>
      <w:r w:rsidR="0030673E">
        <w:rPr>
          <w:rFonts w:ascii="Times New Roman" w:eastAsia="Times New Roman" w:hAnsi="Times New Roman" w:cs="Times New Roman"/>
          <w:sz w:val="24"/>
          <w:szCs w:val="24"/>
        </w:rPr>
        <w:t>to</w:t>
      </w:r>
      <w:r w:rsidRPr="00801CF6">
        <w:rPr>
          <w:rFonts w:ascii="Times New Roman" w:eastAsia="Times New Roman" w:hAnsi="Times New Roman" w:cs="Times New Roman"/>
          <w:sz w:val="24"/>
          <w:szCs w:val="24"/>
        </w:rPr>
        <w:t xml:space="preserve"> MH/SUD and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sz w:val="24"/>
          <w:szCs w:val="24"/>
        </w:rPr>
        <w:t xml:space="preserve"> services (i.e., clearly delineate and explain any differences in factors, definitions of factors, or evidentiary standards used to determine </w:t>
      </w:r>
      <w:r w:rsidR="0030673E">
        <w:rPr>
          <w:rFonts w:ascii="Times New Roman" w:eastAsia="Times New Roman" w:hAnsi="Times New Roman" w:cs="Times New Roman"/>
          <w:sz w:val="24"/>
          <w:szCs w:val="24"/>
        </w:rPr>
        <w:t>how the NQTL is applied</w:t>
      </w:r>
      <w:r w:rsidRPr="00801CF6">
        <w:rPr>
          <w:rFonts w:ascii="Times New Roman" w:eastAsia="Times New Roman" w:hAnsi="Times New Roman" w:cs="Times New Roman"/>
          <w:sz w:val="24"/>
          <w:szCs w:val="24"/>
        </w:rPr>
        <w:t>, and provide an explanation as to why and/or how the factors, definitions of factors, and evidentiary standards are deemed comparable).</w:t>
      </w:r>
    </w:p>
    <w:p w14:paraId="4B9DE456" w14:textId="77777777" w:rsidR="00E252D9" w:rsidRPr="00801CF6" w:rsidRDefault="00E252D9" w:rsidP="00E252D9">
      <w:pPr>
        <w:widowControl w:val="0"/>
        <w:spacing w:after="0" w:line="240" w:lineRule="auto"/>
        <w:ind w:firstLine="0"/>
        <w:rPr>
          <w:rFonts w:ascii="Times New Roman" w:eastAsia="Times New Roman" w:hAnsi="Times New Roman" w:cs="Times New Roman"/>
          <w:sz w:val="24"/>
          <w:szCs w:val="24"/>
        </w:rPr>
      </w:pPr>
    </w:p>
    <w:p w14:paraId="034D828D" w14:textId="19242519" w:rsidR="00E252D9" w:rsidRPr="00801CF6" w:rsidRDefault="00E252D9" w:rsidP="006277DC">
      <w:pPr>
        <w:widowControl w:val="0"/>
        <w:numPr>
          <w:ilvl w:val="0"/>
          <w:numId w:val="18"/>
        </w:numPr>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Include a brief description of each step, and comparative analysis, for the </w:t>
      </w:r>
      <w:r w:rsidR="006710C8">
        <w:rPr>
          <w:rFonts w:ascii="Times New Roman" w:eastAsia="Times New Roman" w:hAnsi="Times New Roman" w:cs="Times New Roman"/>
          <w:sz w:val="24"/>
          <w:szCs w:val="24"/>
        </w:rPr>
        <w:t xml:space="preserve">written </w:t>
      </w:r>
      <w:r w:rsidRPr="00801CF6">
        <w:rPr>
          <w:rFonts w:ascii="Times New Roman" w:eastAsia="Times New Roman" w:hAnsi="Times New Roman" w:cs="Times New Roman"/>
          <w:sz w:val="24"/>
          <w:szCs w:val="24"/>
        </w:rPr>
        <w:t xml:space="preserve">processes used in applying the NQTLs to MH/SUD and </w:t>
      </w:r>
      <w:r w:rsidR="00FA3D0B" w:rsidRPr="00801CF6">
        <w:rPr>
          <w:rFonts w:ascii="Times New Roman" w:eastAsia="Times New Roman" w:hAnsi="Times New Roman" w:cs="Times New Roman"/>
          <w:color w:val="000000"/>
          <w:sz w:val="24"/>
          <w:szCs w:val="24"/>
        </w:rPr>
        <w:t>medical/surgical</w:t>
      </w:r>
      <w:r w:rsidR="009B10A7">
        <w:rPr>
          <w:rFonts w:ascii="Times New Roman" w:eastAsia="Times New Roman" w:hAnsi="Times New Roman" w:cs="Times New Roman"/>
          <w:sz w:val="24"/>
          <w:szCs w:val="24"/>
        </w:rPr>
        <w:t xml:space="preserve"> benefits</w:t>
      </w:r>
      <w:r w:rsidRPr="00801CF6">
        <w:rPr>
          <w:rFonts w:ascii="Times New Roman" w:eastAsia="Times New Roman" w:hAnsi="Times New Roman" w:cs="Times New Roman"/>
          <w:sz w:val="24"/>
          <w:szCs w:val="24"/>
        </w:rPr>
        <w:t>, and demonstrate comparable and no more stringent appli</w:t>
      </w:r>
      <w:r w:rsidR="009B10A7">
        <w:rPr>
          <w:rFonts w:ascii="Times New Roman" w:eastAsia="Times New Roman" w:hAnsi="Times New Roman" w:cs="Times New Roman"/>
          <w:sz w:val="24"/>
          <w:szCs w:val="24"/>
        </w:rPr>
        <w:t>cation to MH/SUD benefits</w:t>
      </w:r>
      <w:r w:rsidRPr="00801CF6">
        <w:rPr>
          <w:rFonts w:ascii="Times New Roman" w:eastAsia="Times New Roman" w:hAnsi="Times New Roman" w:cs="Times New Roman"/>
          <w:sz w:val="24"/>
          <w:szCs w:val="24"/>
        </w:rPr>
        <w:t xml:space="preserve"> at each step.</w:t>
      </w:r>
    </w:p>
    <w:p w14:paraId="4F95FD64" w14:textId="77777777" w:rsidR="00E252D9" w:rsidRPr="00801CF6" w:rsidRDefault="00E252D9" w:rsidP="00E252D9">
      <w:pPr>
        <w:widowControl w:val="0"/>
        <w:spacing w:after="0" w:line="240" w:lineRule="auto"/>
        <w:ind w:left="0" w:firstLine="0"/>
        <w:rPr>
          <w:rFonts w:ascii="Times New Roman" w:eastAsia="Times New Roman" w:hAnsi="Times New Roman" w:cs="Times New Roman"/>
          <w:sz w:val="24"/>
          <w:szCs w:val="24"/>
        </w:rPr>
      </w:pPr>
    </w:p>
    <w:p w14:paraId="4826B893" w14:textId="77777777" w:rsidR="00E252D9" w:rsidRPr="00801CF6" w:rsidRDefault="00E252D9" w:rsidP="006277DC">
      <w:pPr>
        <w:widowControl w:val="0"/>
        <w:numPr>
          <w:ilvl w:val="0"/>
          <w:numId w:val="18"/>
        </w:numPr>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Include information on the composition and deliberations of the decision-making staff responsible for the written policies, including the number of staff members allocated, time allocated, qualifications of staff involved, breadth of sources and evidence considered, deviation from generally accepted standards of care, consultations with panels of experts, and reliance on national treatment guidelines or guidelines provided by third-party organizations.</w:t>
      </w:r>
    </w:p>
    <w:p w14:paraId="1083C8AE" w14:textId="77777777" w:rsidR="00E252D9" w:rsidRPr="00801CF6" w:rsidRDefault="00E252D9" w:rsidP="00E252D9">
      <w:pPr>
        <w:widowControl w:val="0"/>
        <w:spacing w:after="0" w:line="240" w:lineRule="auto"/>
        <w:ind w:left="0" w:firstLine="0"/>
        <w:rPr>
          <w:rFonts w:ascii="Times New Roman" w:eastAsia="Times New Roman" w:hAnsi="Times New Roman" w:cs="Times New Roman"/>
          <w:sz w:val="24"/>
          <w:szCs w:val="24"/>
        </w:rPr>
      </w:pPr>
    </w:p>
    <w:p w14:paraId="2AB6768E" w14:textId="7DF7C4A6" w:rsidR="00E252D9" w:rsidRPr="00801CF6" w:rsidRDefault="00E252D9" w:rsidP="006277DC">
      <w:pPr>
        <w:widowControl w:val="0"/>
        <w:numPr>
          <w:ilvl w:val="0"/>
          <w:numId w:val="18"/>
        </w:numPr>
        <w:spacing w:after="10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Demonstrate that there are not arbitrary or unfairly discriminatory differences in the written standards for applying underlying processes and strategies to NQTLs with respect to medical/surgical benefits </w:t>
      </w:r>
      <w:r w:rsidR="00567D4E">
        <w:rPr>
          <w:rFonts w:ascii="Times New Roman" w:eastAsia="Times New Roman" w:hAnsi="Times New Roman" w:cs="Times New Roman"/>
          <w:sz w:val="24"/>
          <w:szCs w:val="24"/>
        </w:rPr>
        <w:t>vs.</w:t>
      </w:r>
      <w:r w:rsidRPr="00801CF6">
        <w:rPr>
          <w:rFonts w:ascii="Times New Roman" w:eastAsia="Times New Roman" w:hAnsi="Times New Roman" w:cs="Times New Roman"/>
          <w:sz w:val="24"/>
          <w:szCs w:val="24"/>
        </w:rPr>
        <w:t xml:space="preserve"> MH/SUD benefits.</w:t>
      </w:r>
    </w:p>
    <w:p w14:paraId="4EFAD395" w14:textId="30673A3D" w:rsidR="00E252D9" w:rsidRDefault="00E252D9" w:rsidP="00E620CB">
      <w:pPr>
        <w:widowControl w:val="0"/>
        <w:numPr>
          <w:ilvl w:val="0"/>
          <w:numId w:val="18"/>
        </w:numPr>
        <w:spacing w:after="10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Examples of methods/analyses demonstrating that factors, evidentiary standards, and processes are comparable include, but are not limited to: </w:t>
      </w:r>
    </w:p>
    <w:p w14:paraId="0012B780" w14:textId="77777777" w:rsidR="00E620CB" w:rsidRDefault="00E620CB" w:rsidP="00E620CB">
      <w:pPr>
        <w:widowControl w:val="0"/>
        <w:tabs>
          <w:tab w:val="left" w:pos="1575"/>
        </w:tabs>
        <w:spacing w:after="0" w:line="240" w:lineRule="auto"/>
        <w:ind w:left="1440" w:firstLine="0"/>
        <w:rPr>
          <w:rFonts w:ascii="Times New Roman" w:eastAsia="Times New Roman" w:hAnsi="Times New Roman" w:cs="Times New Roman"/>
          <w:sz w:val="24"/>
          <w:szCs w:val="24"/>
        </w:rPr>
      </w:pPr>
    </w:p>
    <w:p w14:paraId="0793CA55" w14:textId="31729B7F" w:rsidR="00E252D9" w:rsidRPr="00801CF6" w:rsidRDefault="00E252D9" w:rsidP="00E252D9">
      <w:pPr>
        <w:widowControl w:val="0"/>
        <w:numPr>
          <w:ilvl w:val="0"/>
          <w:numId w:val="6"/>
        </w:numPr>
        <w:tabs>
          <w:tab w:val="left" w:pos="1575"/>
        </w:tabs>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Review of published literature on</w:t>
      </w:r>
      <w:r w:rsidR="009B10A7">
        <w:rPr>
          <w:rFonts w:ascii="Times New Roman" w:eastAsia="Times New Roman" w:hAnsi="Times New Roman" w:cs="Times New Roman"/>
          <w:sz w:val="24"/>
          <w:szCs w:val="24"/>
        </w:rPr>
        <w:t xml:space="preserve"> the</w:t>
      </w:r>
      <w:r w:rsidRPr="00801CF6">
        <w:rPr>
          <w:rFonts w:ascii="Times New Roman" w:eastAsia="Times New Roman" w:hAnsi="Times New Roman" w:cs="Times New Roman"/>
          <w:sz w:val="24"/>
          <w:szCs w:val="24"/>
        </w:rPr>
        <w:t xml:space="preserve"> rapidly increasing cost for services for MH/SUD and medical/surgical conditions and a determination that a key factor(s) was present with similar frequency and magnitude with respect to specific MH/SUD</w:t>
      </w:r>
      <w:r w:rsidR="009B10A7">
        <w:rPr>
          <w:rFonts w:ascii="Times New Roman" w:eastAsia="Times New Roman" w:hAnsi="Times New Roman" w:cs="Times New Roman"/>
          <w:sz w:val="24"/>
          <w:szCs w:val="24"/>
        </w:rPr>
        <w:t xml:space="preserve"> benefits</w:t>
      </w:r>
      <w:r w:rsidRPr="00801CF6">
        <w:rPr>
          <w:rFonts w:ascii="Times New Roman" w:eastAsia="Times New Roman" w:hAnsi="Times New Roman" w:cs="Times New Roman"/>
          <w:sz w:val="24"/>
          <w:szCs w:val="24"/>
        </w:rPr>
        <w:t xml:space="preserve"> and medical/surgical benefits subject to the NQTL; </w:t>
      </w:r>
    </w:p>
    <w:p w14:paraId="4BC5D221" w14:textId="77777777" w:rsidR="00E252D9" w:rsidRPr="00801CF6" w:rsidRDefault="00E252D9" w:rsidP="00E252D9">
      <w:pPr>
        <w:widowControl w:val="0"/>
        <w:tabs>
          <w:tab w:val="left" w:pos="1575"/>
        </w:tabs>
        <w:spacing w:after="0" w:line="240" w:lineRule="auto"/>
        <w:ind w:left="1440" w:firstLine="0"/>
        <w:rPr>
          <w:rFonts w:ascii="Times New Roman" w:eastAsia="Times New Roman" w:hAnsi="Times New Roman" w:cs="Times New Roman"/>
          <w:sz w:val="24"/>
          <w:szCs w:val="24"/>
        </w:rPr>
      </w:pPr>
    </w:p>
    <w:p w14:paraId="7F1B1F1D" w14:textId="1EA30D9B" w:rsidR="00E252D9" w:rsidRPr="00801CF6" w:rsidRDefault="00E252D9" w:rsidP="00E252D9">
      <w:pPr>
        <w:widowControl w:val="0"/>
        <w:numPr>
          <w:ilvl w:val="0"/>
          <w:numId w:val="6"/>
        </w:numPr>
        <w:tabs>
          <w:tab w:val="left" w:pos="1575"/>
        </w:tabs>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A consistent methodology  for analyzing which MH/SUD</w:t>
      </w:r>
      <w:r w:rsidR="009B10A7">
        <w:rPr>
          <w:rFonts w:ascii="Times New Roman" w:eastAsia="Times New Roman" w:hAnsi="Times New Roman" w:cs="Times New Roman"/>
          <w:sz w:val="24"/>
          <w:szCs w:val="24"/>
        </w:rPr>
        <w:t xml:space="preserve"> services</w:t>
      </w:r>
      <w:r w:rsidRPr="00801CF6">
        <w:rPr>
          <w:rFonts w:ascii="Times New Roman" w:eastAsia="Times New Roman" w:hAnsi="Times New Roman" w:cs="Times New Roman"/>
          <w:sz w:val="24"/>
          <w:szCs w:val="24"/>
        </w:rPr>
        <w:t xml:space="preserve"> and </w:t>
      </w:r>
      <w:r w:rsidRPr="00801CF6">
        <w:rPr>
          <w:rFonts w:ascii="Times New Roman" w:eastAsia="Times New Roman" w:hAnsi="Times New Roman" w:cs="Times New Roman"/>
          <w:sz w:val="24"/>
          <w:szCs w:val="24"/>
        </w:rPr>
        <w:lastRenderedPageBreak/>
        <w:t xml:space="preserve">medical/surgical </w:t>
      </w:r>
      <w:r w:rsidR="00B1785F" w:rsidRPr="00801CF6">
        <w:rPr>
          <w:rFonts w:ascii="Times New Roman" w:eastAsia="Times New Roman" w:hAnsi="Times New Roman" w:cs="Times New Roman"/>
          <w:sz w:val="24"/>
          <w:szCs w:val="24"/>
        </w:rPr>
        <w:t xml:space="preserve">services </w:t>
      </w:r>
      <w:r w:rsidRPr="00801CF6">
        <w:rPr>
          <w:rFonts w:ascii="Times New Roman" w:eastAsia="Times New Roman" w:hAnsi="Times New Roman" w:cs="Times New Roman"/>
          <w:sz w:val="24"/>
          <w:szCs w:val="24"/>
        </w:rPr>
        <w:t xml:space="preserve"> had high</w:t>
      </w:r>
      <w:r w:rsidR="00B1785F" w:rsidRPr="00801CF6">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rPr>
        <w:t xml:space="preserve"> variability</w:t>
      </w:r>
      <w:r w:rsidR="00B1785F" w:rsidRPr="00801CF6">
        <w:rPr>
          <w:rFonts w:ascii="Times New Roman" w:eastAsia="Times New Roman" w:hAnsi="Times New Roman" w:cs="Times New Roman"/>
          <w:sz w:val="24"/>
          <w:szCs w:val="24"/>
        </w:rPr>
        <w:t xml:space="preserve"> in length of stay</w:t>
      </w:r>
      <w:r w:rsidRPr="00801CF6">
        <w:rPr>
          <w:rFonts w:ascii="Times New Roman" w:eastAsia="Times New Roman" w:hAnsi="Times New Roman" w:cs="Times New Roman"/>
          <w:sz w:val="24"/>
          <w:szCs w:val="24"/>
        </w:rPr>
        <w:t xml:space="preserve"> (defined by identical factors and evidentiary standards for all services) and were therefore subject to the NQTL; </w:t>
      </w:r>
    </w:p>
    <w:p w14:paraId="4E85A7A7" w14:textId="77777777" w:rsidR="00E252D9" w:rsidRPr="00801CF6" w:rsidRDefault="00E252D9" w:rsidP="00E252D9">
      <w:pPr>
        <w:widowControl w:val="0"/>
        <w:tabs>
          <w:tab w:val="left" w:pos="1575"/>
        </w:tabs>
        <w:spacing w:after="0" w:line="240" w:lineRule="auto"/>
        <w:ind w:left="0" w:firstLine="0"/>
        <w:rPr>
          <w:rFonts w:ascii="Times New Roman" w:eastAsia="Times New Roman" w:hAnsi="Times New Roman" w:cs="Times New Roman"/>
          <w:sz w:val="24"/>
          <w:szCs w:val="24"/>
        </w:rPr>
      </w:pPr>
    </w:p>
    <w:p w14:paraId="622E9276" w14:textId="2297BBCD" w:rsidR="00E252D9" w:rsidRPr="00801CF6" w:rsidRDefault="00E252D9" w:rsidP="00E252D9">
      <w:pPr>
        <w:widowControl w:val="0"/>
        <w:numPr>
          <w:ilvl w:val="0"/>
          <w:numId w:val="6"/>
        </w:numPr>
        <w:tabs>
          <w:tab w:val="left" w:pos="1575"/>
        </w:tabs>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Summaries of research (</w:t>
      </w:r>
      <w:r w:rsidR="00DB6AF5">
        <w:rPr>
          <w:rFonts w:ascii="Times New Roman" w:eastAsia="Times New Roman" w:hAnsi="Times New Roman" w:cs="Times New Roman"/>
          <w:sz w:val="24"/>
          <w:szCs w:val="24"/>
        </w:rPr>
        <w:t>such as</w:t>
      </w:r>
      <w:r w:rsidRPr="00801CF6">
        <w:rPr>
          <w:rFonts w:ascii="Times New Roman" w:eastAsia="Times New Roman" w:hAnsi="Times New Roman" w:cs="Times New Roman"/>
          <w:sz w:val="24"/>
          <w:szCs w:val="24"/>
        </w:rPr>
        <w:t>, clinical articles) considered in designing NQTLs for both MH/SUD</w:t>
      </w:r>
      <w:r w:rsidR="009B10A7">
        <w:rPr>
          <w:rFonts w:ascii="Times New Roman" w:eastAsia="Times New Roman" w:hAnsi="Times New Roman" w:cs="Times New Roman"/>
          <w:sz w:val="24"/>
          <w:szCs w:val="24"/>
        </w:rPr>
        <w:t xml:space="preserve"> benefits</w:t>
      </w:r>
      <w:r w:rsidRPr="00801CF6">
        <w:rPr>
          <w:rFonts w:ascii="Times New Roman" w:eastAsia="Times New Roman" w:hAnsi="Times New Roman" w:cs="Times New Roman"/>
          <w:sz w:val="24"/>
          <w:szCs w:val="24"/>
        </w:rPr>
        <w:t xml:space="preserve"> and medical/surgical benefits, demonstrating that the research was similarly utilized for both MH/SUD </w:t>
      </w:r>
      <w:r w:rsidR="009B10A7">
        <w:rPr>
          <w:rFonts w:ascii="Times New Roman" w:eastAsia="Times New Roman" w:hAnsi="Times New Roman" w:cs="Times New Roman"/>
          <w:sz w:val="24"/>
          <w:szCs w:val="24"/>
        </w:rPr>
        <w:t xml:space="preserve">benefits </w:t>
      </w:r>
      <w:r w:rsidRPr="00801CF6">
        <w:rPr>
          <w:rFonts w:ascii="Times New Roman" w:eastAsia="Times New Roman" w:hAnsi="Times New Roman" w:cs="Times New Roman"/>
          <w:sz w:val="24"/>
          <w:szCs w:val="24"/>
        </w:rPr>
        <w:t>and medical/surgical benefits;</w:t>
      </w:r>
    </w:p>
    <w:p w14:paraId="2FB5A2D1" w14:textId="77777777" w:rsidR="00E252D9" w:rsidRPr="00801CF6" w:rsidRDefault="00E252D9" w:rsidP="00E252D9">
      <w:pPr>
        <w:widowControl w:val="0"/>
        <w:tabs>
          <w:tab w:val="left" w:pos="1575"/>
        </w:tabs>
        <w:spacing w:after="0" w:line="240" w:lineRule="auto"/>
        <w:ind w:left="0" w:firstLine="0"/>
        <w:rPr>
          <w:rFonts w:ascii="Times New Roman" w:eastAsia="Times New Roman" w:hAnsi="Times New Roman" w:cs="Times New Roman"/>
          <w:sz w:val="24"/>
          <w:szCs w:val="24"/>
        </w:rPr>
      </w:pPr>
    </w:p>
    <w:p w14:paraId="66340B15" w14:textId="759EEE62" w:rsidR="00E252D9" w:rsidRPr="00801CF6" w:rsidRDefault="00E252D9" w:rsidP="00E252D9">
      <w:pPr>
        <w:widowControl w:val="0"/>
        <w:numPr>
          <w:ilvl w:val="0"/>
          <w:numId w:val="6"/>
        </w:numPr>
        <w:tabs>
          <w:tab w:val="left" w:pos="1575"/>
        </w:tabs>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Internal review of published treatment guidelines by appropriate clinical teams (with comparable compositions and qualifications for both MH/SUD </w:t>
      </w:r>
      <w:r w:rsidR="0009591D">
        <w:rPr>
          <w:rFonts w:ascii="Times New Roman" w:eastAsia="Times New Roman" w:hAnsi="Times New Roman" w:cs="Times New Roman"/>
          <w:sz w:val="24"/>
          <w:szCs w:val="24"/>
        </w:rPr>
        <w:t xml:space="preserve">benefits </w:t>
      </w:r>
      <w:r w:rsidRPr="00801CF6">
        <w:rPr>
          <w:rFonts w:ascii="Times New Roman" w:eastAsia="Times New Roman" w:hAnsi="Times New Roman" w:cs="Times New Roman"/>
          <w:sz w:val="24"/>
          <w:szCs w:val="24"/>
        </w:rPr>
        <w:t xml:space="preserve">and medical/surgical benefits) to identify (using comparable standards and thresholds for both MH/SUD </w:t>
      </w:r>
      <w:r w:rsidR="0009591D">
        <w:rPr>
          <w:rFonts w:ascii="Times New Roman" w:eastAsia="Times New Roman" w:hAnsi="Times New Roman" w:cs="Times New Roman"/>
          <w:sz w:val="24"/>
          <w:szCs w:val="24"/>
        </w:rPr>
        <w:t xml:space="preserve">benefits </w:t>
      </w:r>
      <w:r w:rsidRPr="00801CF6">
        <w:rPr>
          <w:rFonts w:ascii="Times New Roman" w:eastAsia="Times New Roman" w:hAnsi="Times New Roman" w:cs="Times New Roman"/>
          <w:sz w:val="24"/>
          <w:szCs w:val="24"/>
        </w:rPr>
        <w:t xml:space="preserve">and medical/surgical benefits) covered treatments or services </w:t>
      </w:r>
      <w:r w:rsidR="00FB4560">
        <w:rPr>
          <w:rFonts w:ascii="Times New Roman" w:eastAsia="Times New Roman" w:hAnsi="Times New Roman" w:cs="Times New Roman"/>
          <w:sz w:val="24"/>
          <w:szCs w:val="24"/>
        </w:rPr>
        <w:t>that</w:t>
      </w:r>
      <w:r w:rsidRPr="00801CF6">
        <w:rPr>
          <w:rFonts w:ascii="Times New Roman" w:eastAsia="Times New Roman" w:hAnsi="Times New Roman" w:cs="Times New Roman"/>
          <w:sz w:val="24"/>
          <w:szCs w:val="24"/>
        </w:rPr>
        <w:t xml:space="preserve"> lack clinical efficacy;</w:t>
      </w:r>
      <w:r w:rsidR="00E620CB">
        <w:rPr>
          <w:rFonts w:ascii="Times New Roman" w:eastAsia="Times New Roman" w:hAnsi="Times New Roman" w:cs="Times New Roman"/>
          <w:sz w:val="24"/>
          <w:szCs w:val="24"/>
        </w:rPr>
        <w:t xml:space="preserve"> and</w:t>
      </w:r>
    </w:p>
    <w:p w14:paraId="759A18B1" w14:textId="77777777" w:rsidR="00E252D9" w:rsidRPr="00801CF6" w:rsidRDefault="00E252D9" w:rsidP="00E252D9">
      <w:pPr>
        <w:widowControl w:val="0"/>
        <w:tabs>
          <w:tab w:val="left" w:pos="1575"/>
        </w:tabs>
        <w:spacing w:after="0" w:line="240" w:lineRule="auto"/>
        <w:ind w:left="0" w:firstLine="0"/>
        <w:rPr>
          <w:rFonts w:ascii="Times New Roman" w:eastAsia="Times New Roman" w:hAnsi="Times New Roman" w:cs="Times New Roman"/>
          <w:sz w:val="24"/>
          <w:szCs w:val="24"/>
        </w:rPr>
      </w:pPr>
    </w:p>
    <w:p w14:paraId="33B22601" w14:textId="5913FDDC" w:rsidR="00E252D9" w:rsidRPr="00801CF6" w:rsidRDefault="00E252D9" w:rsidP="00E252D9">
      <w:pPr>
        <w:widowControl w:val="0"/>
        <w:numPr>
          <w:ilvl w:val="0"/>
          <w:numId w:val="6"/>
        </w:numPr>
        <w:tabs>
          <w:tab w:val="left" w:pos="1575"/>
        </w:tabs>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Internal review to determine that the carrier’s p</w:t>
      </w:r>
      <w:r w:rsidR="00E620CB">
        <w:rPr>
          <w:rFonts w:ascii="Times New Roman" w:eastAsia="Times New Roman" w:hAnsi="Times New Roman" w:cs="Times New Roman"/>
          <w:sz w:val="24"/>
          <w:szCs w:val="24"/>
        </w:rPr>
        <w:t>anel of experts who</w:t>
      </w:r>
      <w:r w:rsidRPr="00801CF6">
        <w:rPr>
          <w:rFonts w:ascii="Times New Roman" w:eastAsia="Times New Roman" w:hAnsi="Times New Roman" w:cs="Times New Roman"/>
          <w:sz w:val="24"/>
          <w:szCs w:val="24"/>
        </w:rPr>
        <w:t xml:space="preserve"> determine whether a treatment is medically appropriate were comprised of comparable experts for MH/SUD conditions and medical/surgical conditions, and that such experts evaluated and applied nationally-recognized treatment guidelines or other criteria in a comparable manner.</w:t>
      </w:r>
    </w:p>
    <w:p w14:paraId="5468B6D3" w14:textId="77777777" w:rsidR="00E252D9" w:rsidRPr="00801CF6" w:rsidRDefault="00E252D9" w:rsidP="00E252D9">
      <w:pPr>
        <w:widowControl w:val="0"/>
        <w:tabs>
          <w:tab w:val="left" w:pos="1575"/>
        </w:tabs>
        <w:spacing w:after="0" w:line="240" w:lineRule="auto"/>
        <w:ind w:left="0" w:firstLine="0"/>
        <w:rPr>
          <w:rFonts w:ascii="Times New Roman" w:eastAsia="Times New Roman" w:hAnsi="Times New Roman" w:cs="Times New Roman"/>
          <w:sz w:val="24"/>
          <w:szCs w:val="24"/>
        </w:rPr>
      </w:pPr>
    </w:p>
    <w:p w14:paraId="503A9AE9" w14:textId="432C7529" w:rsidR="00E252D9" w:rsidRPr="00801CF6" w:rsidRDefault="00E252D9" w:rsidP="0038708F">
      <w:pPr>
        <w:tabs>
          <w:tab w:val="left" w:pos="1575"/>
        </w:tabs>
        <w:spacing w:after="0" w:line="240" w:lineRule="auto"/>
        <w:ind w:left="36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Failure to include all of the information described in the instructions for Step 4 will result in a finding that a carrier failed to submit a complete analysis report and may result in the actions specified in § 15-144(j).</w:t>
      </w:r>
    </w:p>
    <w:p w14:paraId="7355C9D0" w14:textId="77777777" w:rsidR="00E252D9" w:rsidRPr="00801CF6" w:rsidRDefault="00E252D9" w:rsidP="00E252D9">
      <w:pPr>
        <w:tabs>
          <w:tab w:val="left" w:pos="1575"/>
        </w:tabs>
        <w:spacing w:after="0" w:line="240" w:lineRule="auto"/>
        <w:ind w:firstLine="0"/>
        <w:rPr>
          <w:rFonts w:ascii="Times New Roman" w:eastAsia="Times New Roman" w:hAnsi="Times New Roman" w:cs="Times New Roman"/>
          <w:sz w:val="24"/>
          <w:szCs w:val="24"/>
        </w:rPr>
      </w:pPr>
    </w:p>
    <w:p w14:paraId="3D2C235A" w14:textId="3813A442" w:rsidR="00E252D9" w:rsidRPr="00801CF6" w:rsidRDefault="00E252D9" w:rsidP="00E252D9">
      <w:pPr>
        <w:pStyle w:val="Heading2"/>
        <w:ind w:left="0" w:firstLine="0"/>
        <w:rPr>
          <w:sz w:val="24"/>
          <w:szCs w:val="24"/>
        </w:rPr>
      </w:pPr>
      <w:bookmarkStart w:id="37" w:name="_Toc229123349"/>
      <w:bookmarkStart w:id="38" w:name="_Toc229123627"/>
      <w:r w:rsidRPr="00801CF6">
        <w:rPr>
          <w:b/>
          <w:sz w:val="24"/>
          <w:szCs w:val="24"/>
        </w:rPr>
        <w:t>Step 5</w:t>
      </w:r>
      <w:r w:rsidR="00A04FED">
        <w:rPr>
          <w:b/>
          <w:sz w:val="24"/>
          <w:szCs w:val="24"/>
        </w:rPr>
        <w:t>:</w:t>
      </w:r>
      <w:r w:rsidRPr="00801CF6">
        <w:rPr>
          <w:b/>
          <w:sz w:val="24"/>
          <w:szCs w:val="24"/>
        </w:rPr>
        <w:t xml:space="preserve"> </w:t>
      </w:r>
      <w:bookmarkStart w:id="39" w:name="OLE_LINK5"/>
      <w:bookmarkStart w:id="40" w:name="OLE_LINK6"/>
      <w:r w:rsidRPr="00801CF6">
        <w:rPr>
          <w:b/>
          <w:sz w:val="24"/>
          <w:szCs w:val="24"/>
        </w:rPr>
        <w:t xml:space="preserve">Comparable In-Operation </w:t>
      </w:r>
      <w:r w:rsidR="00A04FED">
        <w:rPr>
          <w:b/>
          <w:sz w:val="24"/>
          <w:szCs w:val="24"/>
        </w:rPr>
        <w:t>Data Analysis/</w:t>
      </w:r>
      <w:r w:rsidRPr="00801CF6">
        <w:rPr>
          <w:b/>
          <w:sz w:val="24"/>
          <w:szCs w:val="24"/>
        </w:rPr>
        <w:t>Audits/Reviews</w:t>
      </w:r>
      <w:bookmarkEnd w:id="37"/>
      <w:bookmarkEnd w:id="38"/>
      <w:bookmarkEnd w:id="39"/>
      <w:bookmarkEnd w:id="40"/>
    </w:p>
    <w:p w14:paraId="61551806" w14:textId="2425EF4F" w:rsidR="00E252D9" w:rsidRPr="00801CF6" w:rsidRDefault="00E252D9" w:rsidP="00E252D9">
      <w:pPr>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Provide the comparative analyses performed and relied on to determine whether each NQTL is comparable to and no more stringently designed and applied</w:t>
      </w:r>
      <w:r w:rsidR="00EC513E">
        <w:rPr>
          <w:rFonts w:ascii="Times New Roman" w:eastAsia="Times New Roman" w:hAnsi="Times New Roman" w:cs="Times New Roman"/>
          <w:sz w:val="24"/>
          <w:szCs w:val="24"/>
        </w:rPr>
        <w:t xml:space="preserve"> to MH/SUD </w:t>
      </w:r>
      <w:r w:rsidR="0009591D">
        <w:rPr>
          <w:rFonts w:ascii="Times New Roman" w:eastAsia="Times New Roman" w:hAnsi="Times New Roman" w:cs="Times New Roman"/>
          <w:sz w:val="24"/>
          <w:szCs w:val="24"/>
        </w:rPr>
        <w:t xml:space="preserve">benefits </w:t>
      </w:r>
      <w:r w:rsidR="00EC513E">
        <w:rPr>
          <w:rFonts w:ascii="Times New Roman" w:eastAsia="Times New Roman" w:hAnsi="Times New Roman" w:cs="Times New Roman"/>
          <w:sz w:val="24"/>
          <w:szCs w:val="24"/>
        </w:rPr>
        <w:t>compared to medical/surgical benefits</w:t>
      </w:r>
      <w:r w:rsidRPr="00801CF6">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u w:val="single"/>
        </w:rPr>
        <w:t>in operation</w:t>
      </w:r>
      <w:r w:rsidRPr="00801CF6">
        <w:rPr>
          <w:rFonts w:ascii="Times New Roman" w:eastAsia="Times New Roman" w:hAnsi="Times New Roman" w:cs="Times New Roman"/>
          <w:sz w:val="24"/>
          <w:szCs w:val="24"/>
        </w:rPr>
        <w:t xml:space="preserve">. The comparative analyses </w:t>
      </w:r>
      <w:r w:rsidR="0009591D">
        <w:rPr>
          <w:rFonts w:ascii="Times New Roman" w:eastAsia="Times New Roman" w:hAnsi="Times New Roman" w:cs="Times New Roman"/>
          <w:sz w:val="24"/>
          <w:szCs w:val="24"/>
        </w:rPr>
        <w:t>must</w:t>
      </w:r>
      <w:r w:rsidRPr="00801CF6">
        <w:rPr>
          <w:rFonts w:ascii="Times New Roman" w:eastAsia="Times New Roman" w:hAnsi="Times New Roman" w:cs="Times New Roman"/>
          <w:sz w:val="24"/>
          <w:szCs w:val="24"/>
        </w:rPr>
        <w:t xml:space="preserve"> include the results of any </w:t>
      </w:r>
      <w:r w:rsidR="00932122" w:rsidRPr="00801CF6">
        <w:rPr>
          <w:rFonts w:ascii="Times New Roman" w:eastAsia="Times New Roman" w:hAnsi="Times New Roman" w:cs="Times New Roman"/>
          <w:sz w:val="24"/>
          <w:szCs w:val="24"/>
        </w:rPr>
        <w:t xml:space="preserve">data analysis, </w:t>
      </w:r>
      <w:r w:rsidRPr="00801CF6">
        <w:rPr>
          <w:rFonts w:ascii="Times New Roman" w:eastAsia="Times New Roman" w:hAnsi="Times New Roman" w:cs="Times New Roman"/>
          <w:sz w:val="24"/>
          <w:szCs w:val="24"/>
        </w:rPr>
        <w:t>audits</w:t>
      </w:r>
      <w:r w:rsidR="001C17E6">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and reviews, and an explanation of the methodology</w:t>
      </w:r>
      <w:r w:rsidR="00A04FED">
        <w:rPr>
          <w:rFonts w:ascii="Times New Roman" w:eastAsia="Times New Roman" w:hAnsi="Times New Roman" w:cs="Times New Roman"/>
          <w:sz w:val="24"/>
          <w:szCs w:val="24"/>
        </w:rPr>
        <w:t xml:space="preserve"> used</w:t>
      </w:r>
      <w:r w:rsidRPr="00801CF6">
        <w:rPr>
          <w:rFonts w:ascii="Times New Roman" w:eastAsia="Times New Roman" w:hAnsi="Times New Roman" w:cs="Times New Roman"/>
          <w:sz w:val="24"/>
          <w:szCs w:val="24"/>
        </w:rPr>
        <w:t>.</w:t>
      </w:r>
      <w:r w:rsidR="00EC513E">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rPr>
        <w:t>(§15-144(e)(4)). </w:t>
      </w:r>
    </w:p>
    <w:p w14:paraId="18878057" w14:textId="6A4F584C" w:rsidR="00E252D9" w:rsidRPr="00801CF6" w:rsidRDefault="00E252D9" w:rsidP="006277DC">
      <w:pPr>
        <w:numPr>
          <w:ilvl w:val="0"/>
          <w:numId w:val="11"/>
        </w:numPr>
        <w:spacing w:after="0"/>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Provide the </w:t>
      </w:r>
      <w:r w:rsidR="003A7B94" w:rsidRPr="00801CF6">
        <w:rPr>
          <w:rFonts w:ascii="Times New Roman" w:eastAsia="Times New Roman" w:hAnsi="Times New Roman" w:cs="Times New Roman"/>
          <w:sz w:val="24"/>
          <w:szCs w:val="24"/>
        </w:rPr>
        <w:t>c</w:t>
      </w:r>
      <w:r w:rsidRPr="00801CF6">
        <w:rPr>
          <w:rFonts w:ascii="Times New Roman" w:eastAsia="Times New Roman" w:hAnsi="Times New Roman" w:cs="Times New Roman"/>
          <w:sz w:val="24"/>
          <w:szCs w:val="24"/>
        </w:rPr>
        <w:t>arrier’s analyses that demonstrate the comparability of the implementation of the written policies and procedures governing application of the NQTL.</w:t>
      </w:r>
    </w:p>
    <w:p w14:paraId="21533B23" w14:textId="77777777" w:rsidR="00E252D9" w:rsidRPr="00801CF6" w:rsidRDefault="00E252D9" w:rsidP="00E252D9">
      <w:pPr>
        <w:spacing w:after="0"/>
        <w:rPr>
          <w:rFonts w:ascii="Times New Roman" w:eastAsia="Times New Roman" w:hAnsi="Times New Roman" w:cs="Times New Roman"/>
          <w:sz w:val="24"/>
          <w:szCs w:val="24"/>
        </w:rPr>
      </w:pPr>
    </w:p>
    <w:p w14:paraId="111063AB" w14:textId="1558D00B" w:rsidR="00E252D9" w:rsidRPr="00A04FED" w:rsidRDefault="00E252D9" w:rsidP="0055388D">
      <w:pPr>
        <w:numPr>
          <w:ilvl w:val="0"/>
          <w:numId w:val="11"/>
        </w:numPr>
        <w:spacing w:after="0"/>
        <w:rPr>
          <w:rFonts w:ascii="Times New Roman" w:hAnsi="Times New Roman" w:cs="Times New Roman"/>
          <w:sz w:val="24"/>
          <w:szCs w:val="24"/>
        </w:rPr>
      </w:pPr>
      <w:r w:rsidRPr="00801CF6">
        <w:rPr>
          <w:rFonts w:ascii="Times New Roman" w:eastAsia="Times New Roman" w:hAnsi="Times New Roman" w:cs="Times New Roman"/>
          <w:sz w:val="24"/>
          <w:szCs w:val="24"/>
        </w:rPr>
        <w:t xml:space="preserve">The analyses should include discussion of quality assurance and oversight policies, processes and metrics that the plan applies to monitor in operation compliance.  Examples of information to include are results of </w:t>
      </w:r>
      <w:r w:rsidR="0009591D">
        <w:rPr>
          <w:rFonts w:ascii="Times New Roman" w:eastAsia="Times New Roman" w:hAnsi="Times New Roman" w:cs="Times New Roman"/>
          <w:sz w:val="24"/>
          <w:szCs w:val="24"/>
        </w:rPr>
        <w:t xml:space="preserve">a </w:t>
      </w:r>
      <w:r w:rsidRPr="00801CF6">
        <w:rPr>
          <w:rFonts w:ascii="Times New Roman" w:eastAsia="Times New Roman" w:hAnsi="Times New Roman" w:cs="Times New Roman"/>
          <w:sz w:val="24"/>
          <w:szCs w:val="24"/>
        </w:rPr>
        <w:t>comparative assessment of denial rates (both administrative an</w:t>
      </w:r>
      <w:r w:rsidR="0009591D">
        <w:rPr>
          <w:rFonts w:ascii="Times New Roman" w:eastAsia="Times New Roman" w:hAnsi="Times New Roman" w:cs="Times New Roman"/>
          <w:sz w:val="24"/>
          <w:szCs w:val="24"/>
        </w:rPr>
        <w:t>d medical necessity) by service;</w:t>
      </w:r>
      <w:r w:rsidRPr="00801CF6">
        <w:rPr>
          <w:rFonts w:ascii="Times New Roman" w:eastAsia="Times New Roman" w:hAnsi="Times New Roman" w:cs="Times New Roman"/>
          <w:sz w:val="24"/>
          <w:szCs w:val="24"/>
        </w:rPr>
        <w:t xml:space="preserve"> reviews for correlation between basis for service denials and stated criteria</w:t>
      </w:r>
      <w:r w:rsidR="0009591D">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and internal and/or external </w:t>
      </w:r>
      <w:r w:rsidR="0055388D" w:rsidRPr="0055388D">
        <w:rPr>
          <w:rFonts w:ascii="Times New Roman" w:eastAsia="Times New Roman" w:hAnsi="Times New Roman" w:cs="Times New Roman"/>
          <w:sz w:val="24"/>
          <w:szCs w:val="24"/>
        </w:rPr>
        <w:t>appeals and overturn rates based on complaints under § 15–10A–03</w:t>
      </w:r>
      <w:r w:rsidRPr="00801CF6">
        <w:rPr>
          <w:rFonts w:ascii="Times New Roman" w:eastAsia="Times New Roman" w:hAnsi="Times New Roman" w:cs="Times New Roman"/>
          <w:sz w:val="24"/>
          <w:szCs w:val="24"/>
        </w:rPr>
        <w:t xml:space="preserve">.  </w:t>
      </w:r>
    </w:p>
    <w:p w14:paraId="685D0DCB" w14:textId="6D8C70C7" w:rsidR="00A04FED" w:rsidRPr="00801CF6" w:rsidRDefault="00A04FED" w:rsidP="00A04FED">
      <w:pPr>
        <w:spacing w:after="0"/>
        <w:ind w:left="0" w:firstLine="0"/>
        <w:rPr>
          <w:rFonts w:ascii="Times New Roman" w:hAnsi="Times New Roman" w:cs="Times New Roman"/>
          <w:sz w:val="24"/>
          <w:szCs w:val="24"/>
        </w:rPr>
      </w:pPr>
    </w:p>
    <w:p w14:paraId="0314AFBE" w14:textId="4BAB6559" w:rsidR="00E252D9" w:rsidRPr="00801CF6" w:rsidRDefault="00E252D9" w:rsidP="006277DC">
      <w:pPr>
        <w:numPr>
          <w:ilvl w:val="0"/>
          <w:numId w:val="11"/>
        </w:numPr>
        <w:spacing w:after="0"/>
        <w:rPr>
          <w:rFonts w:ascii="Times New Roman" w:hAnsi="Times New Roman" w:cs="Times New Roman"/>
          <w:sz w:val="24"/>
          <w:szCs w:val="24"/>
        </w:rPr>
      </w:pPr>
      <w:r w:rsidRPr="00801CF6">
        <w:rPr>
          <w:rFonts w:ascii="Times New Roman" w:eastAsia="Times New Roman" w:hAnsi="Times New Roman" w:cs="Times New Roman"/>
          <w:b/>
          <w:sz w:val="24"/>
          <w:szCs w:val="24"/>
        </w:rPr>
        <w:t xml:space="preserve">Note: </w:t>
      </w:r>
      <w:r w:rsidRPr="00801CF6">
        <w:rPr>
          <w:rFonts w:ascii="Times New Roman" w:eastAsia="Times New Roman" w:hAnsi="Times New Roman" w:cs="Times New Roman"/>
          <w:sz w:val="24"/>
          <w:szCs w:val="24"/>
        </w:rPr>
        <w:t xml:space="preserve">Disparate results or outcomes between MH/SUD </w:t>
      </w:r>
      <w:r w:rsidR="0009591D">
        <w:rPr>
          <w:rFonts w:ascii="Times New Roman" w:eastAsia="Times New Roman" w:hAnsi="Times New Roman" w:cs="Times New Roman"/>
          <w:sz w:val="24"/>
          <w:szCs w:val="24"/>
        </w:rPr>
        <w:t xml:space="preserve">benefits </w:t>
      </w:r>
      <w:r w:rsidRPr="00801CF6">
        <w:rPr>
          <w:rFonts w:ascii="Times New Roman" w:eastAsia="Times New Roman" w:hAnsi="Times New Roman" w:cs="Times New Roman"/>
          <w:sz w:val="24"/>
          <w:szCs w:val="24"/>
        </w:rPr>
        <w:t xml:space="preserve">and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sz w:val="24"/>
          <w:szCs w:val="24"/>
        </w:rPr>
        <w:t xml:space="preserve"> </w:t>
      </w:r>
      <w:r w:rsidR="0009591D">
        <w:rPr>
          <w:rFonts w:ascii="Times New Roman" w:eastAsia="Times New Roman" w:hAnsi="Times New Roman" w:cs="Times New Roman"/>
          <w:sz w:val="24"/>
          <w:szCs w:val="24"/>
        </w:rPr>
        <w:t>benefits</w:t>
      </w:r>
      <w:r w:rsidRPr="00801CF6">
        <w:rPr>
          <w:rFonts w:ascii="Times New Roman" w:eastAsia="Times New Roman" w:hAnsi="Times New Roman" w:cs="Times New Roman"/>
          <w:sz w:val="24"/>
          <w:szCs w:val="24"/>
        </w:rPr>
        <w:t xml:space="preserve"> are not regarded as dispositive of parity noncompliance</w:t>
      </w:r>
      <w:r w:rsidR="004E4B49">
        <w:rPr>
          <w:rFonts w:ascii="Times New Roman" w:eastAsia="Times New Roman" w:hAnsi="Times New Roman" w:cs="Times New Roman"/>
          <w:sz w:val="24"/>
          <w:szCs w:val="24"/>
        </w:rPr>
        <w:t>. Disparities are</w:t>
      </w:r>
      <w:r w:rsidRPr="00801CF6">
        <w:rPr>
          <w:rFonts w:ascii="Times New Roman" w:eastAsia="Times New Roman" w:hAnsi="Times New Roman" w:cs="Times New Roman"/>
          <w:sz w:val="24"/>
          <w:szCs w:val="24"/>
        </w:rPr>
        <w:t xml:space="preserve"> a warning sign or red flag of potential noncompliance and warrant further investigation. Conversely, equal or more favorable outcomes for MH/SUD </w:t>
      </w:r>
      <w:r w:rsidR="0009591D">
        <w:rPr>
          <w:rFonts w:ascii="Times New Roman" w:eastAsia="Times New Roman" w:hAnsi="Times New Roman" w:cs="Times New Roman"/>
          <w:sz w:val="24"/>
          <w:szCs w:val="24"/>
        </w:rPr>
        <w:t>benefits</w:t>
      </w:r>
      <w:r w:rsidRPr="00801CF6">
        <w:rPr>
          <w:rFonts w:ascii="Times New Roman" w:eastAsia="Times New Roman" w:hAnsi="Times New Roman" w:cs="Times New Roman"/>
          <w:sz w:val="24"/>
          <w:szCs w:val="24"/>
        </w:rPr>
        <w:t xml:space="preserve"> as compared to </w:t>
      </w:r>
      <w:r w:rsidR="00FA3D0B" w:rsidRPr="00801CF6">
        <w:rPr>
          <w:rFonts w:ascii="Times New Roman" w:eastAsia="Times New Roman" w:hAnsi="Times New Roman" w:cs="Times New Roman"/>
          <w:color w:val="000000"/>
          <w:sz w:val="24"/>
          <w:szCs w:val="24"/>
        </w:rPr>
        <w:t>medical/surgical</w:t>
      </w:r>
      <w:r w:rsidR="0009591D">
        <w:rPr>
          <w:rFonts w:ascii="Times New Roman" w:eastAsia="Times New Roman" w:hAnsi="Times New Roman" w:cs="Times New Roman"/>
          <w:color w:val="000000"/>
          <w:sz w:val="24"/>
          <w:szCs w:val="24"/>
        </w:rPr>
        <w:t xml:space="preserve"> </w:t>
      </w:r>
      <w:r w:rsidR="0009591D">
        <w:rPr>
          <w:rFonts w:ascii="Times New Roman" w:eastAsia="Times New Roman" w:hAnsi="Times New Roman" w:cs="Times New Roman"/>
          <w:color w:val="000000"/>
          <w:sz w:val="24"/>
          <w:szCs w:val="24"/>
        </w:rPr>
        <w:lastRenderedPageBreak/>
        <w:t>benefits</w:t>
      </w:r>
      <w:r w:rsidRPr="00801CF6">
        <w:rPr>
          <w:rFonts w:ascii="Times New Roman" w:eastAsia="Times New Roman" w:hAnsi="Times New Roman" w:cs="Times New Roman"/>
          <w:sz w:val="24"/>
          <w:szCs w:val="24"/>
        </w:rPr>
        <w:t xml:space="preserve"> </w:t>
      </w:r>
      <w:r w:rsidR="001D405A" w:rsidRPr="00801CF6">
        <w:rPr>
          <w:rFonts w:ascii="Times New Roman" w:eastAsia="Times New Roman" w:hAnsi="Times New Roman" w:cs="Times New Roman"/>
          <w:sz w:val="24"/>
          <w:szCs w:val="24"/>
        </w:rPr>
        <w:t xml:space="preserve">are </w:t>
      </w:r>
      <w:r w:rsidRPr="00801CF6">
        <w:rPr>
          <w:rFonts w:ascii="Times New Roman" w:eastAsia="Times New Roman" w:hAnsi="Times New Roman" w:cs="Times New Roman"/>
          <w:sz w:val="24"/>
          <w:szCs w:val="24"/>
        </w:rPr>
        <w:t>a positive indicator</w:t>
      </w:r>
      <w:r w:rsidR="004E4B49">
        <w:rPr>
          <w:rFonts w:ascii="Times New Roman" w:eastAsia="Times New Roman" w:hAnsi="Times New Roman" w:cs="Times New Roman"/>
          <w:sz w:val="24"/>
          <w:szCs w:val="24"/>
        </w:rPr>
        <w:t xml:space="preserve"> but do not necessarily demonstrate required </w:t>
      </w:r>
      <w:r w:rsidRPr="00801CF6">
        <w:rPr>
          <w:rFonts w:ascii="Times New Roman" w:eastAsia="Times New Roman" w:hAnsi="Times New Roman" w:cs="Times New Roman"/>
          <w:sz w:val="24"/>
          <w:szCs w:val="24"/>
        </w:rPr>
        <w:t>parity compliance.</w:t>
      </w:r>
    </w:p>
    <w:p w14:paraId="4BA6C040" w14:textId="77777777" w:rsidR="00E252D9" w:rsidRPr="00801CF6" w:rsidRDefault="00E252D9" w:rsidP="00E252D9">
      <w:pPr>
        <w:spacing w:after="0"/>
        <w:ind w:left="360" w:firstLine="0"/>
        <w:rPr>
          <w:rFonts w:ascii="Times New Roman" w:eastAsia="Times New Roman" w:hAnsi="Times New Roman" w:cs="Times New Roman"/>
          <w:sz w:val="24"/>
          <w:szCs w:val="24"/>
        </w:rPr>
      </w:pPr>
    </w:p>
    <w:p w14:paraId="572A21E1" w14:textId="14445422" w:rsidR="00E252D9" w:rsidRPr="00EC2378" w:rsidRDefault="00E252D9" w:rsidP="006277DC">
      <w:pPr>
        <w:numPr>
          <w:ilvl w:val="0"/>
          <w:numId w:val="11"/>
        </w:numPr>
        <w:spacing w:after="0"/>
        <w:rPr>
          <w:rFonts w:ascii="Times New Roman" w:hAnsi="Times New Roman" w:cs="Times New Roman"/>
          <w:sz w:val="24"/>
          <w:szCs w:val="24"/>
        </w:rPr>
      </w:pPr>
      <w:r w:rsidRPr="00801CF6">
        <w:rPr>
          <w:rFonts w:ascii="Times New Roman" w:eastAsia="Times New Roman" w:hAnsi="Times New Roman" w:cs="Times New Roman"/>
          <w:sz w:val="24"/>
          <w:szCs w:val="24"/>
        </w:rPr>
        <w:t>To ensure uniformity in reporting, the MIA may ask for data using the Medicare provider fee schedules as a metric to measure whether reimbursement rates are comparable.  Carriers may also provide other comparative data in addition to Medicare benchmark data to support the comparability analysis.</w:t>
      </w:r>
    </w:p>
    <w:p w14:paraId="1795DF76" w14:textId="77777777" w:rsidR="00EC2378" w:rsidRDefault="00EC2378" w:rsidP="00EC2378">
      <w:pPr>
        <w:pStyle w:val="ListParagraph"/>
        <w:rPr>
          <w:rFonts w:ascii="Times New Roman" w:hAnsi="Times New Roman" w:cs="Times New Roman"/>
          <w:sz w:val="24"/>
          <w:szCs w:val="24"/>
        </w:rPr>
      </w:pPr>
    </w:p>
    <w:p w14:paraId="1C5C6350" w14:textId="3325CDE5" w:rsidR="00EC2378" w:rsidRPr="00EC2378" w:rsidRDefault="00EC2378" w:rsidP="00EC2378">
      <w:pPr>
        <w:pStyle w:val="ListParagraph"/>
        <w:numPr>
          <w:ilvl w:val="0"/>
          <w:numId w:val="11"/>
        </w:numPr>
        <w:pBdr>
          <w:top w:val="nil"/>
          <w:left w:val="nil"/>
          <w:bottom w:val="nil"/>
          <w:right w:val="nil"/>
          <w:between w:val="nil"/>
        </w:pBdr>
        <w:rPr>
          <w:rFonts w:ascii="Times New Roman" w:hAnsi="Times New Roman" w:cs="Times New Roman"/>
          <w:color w:val="000000"/>
          <w:sz w:val="24"/>
          <w:szCs w:val="24"/>
        </w:rPr>
      </w:pPr>
      <w:r w:rsidRPr="00EC2378">
        <w:rPr>
          <w:rFonts w:ascii="Times New Roman" w:eastAsia="Times New Roman" w:hAnsi="Times New Roman" w:cs="Times New Roman"/>
          <w:color w:val="000000"/>
          <w:sz w:val="24"/>
          <w:szCs w:val="24"/>
        </w:rPr>
        <w:t>When providing audit results, include specific details about the type and outcome of each audit that was performed.  A summary statement that an audit was performed that revealed no statistically significant disparities is not sufficient absent documentation of the review and a description of the methodology, including considerations such as sample size and operational proportionality.</w:t>
      </w:r>
    </w:p>
    <w:p w14:paraId="10F8936E" w14:textId="358B78FE" w:rsidR="00E252D9" w:rsidRPr="00801CF6" w:rsidRDefault="00E252D9" w:rsidP="006277DC">
      <w:pPr>
        <w:numPr>
          <w:ilvl w:val="0"/>
          <w:numId w:val="11"/>
        </w:numPr>
        <w:spacing w:after="0"/>
        <w:rPr>
          <w:rFonts w:ascii="Times New Roman" w:hAnsi="Times New Roman" w:cs="Times New Roman"/>
          <w:sz w:val="24"/>
          <w:szCs w:val="24"/>
        </w:rPr>
      </w:pPr>
      <w:r w:rsidRPr="00801CF6">
        <w:rPr>
          <w:rFonts w:ascii="Times New Roman" w:eastAsia="Times New Roman" w:hAnsi="Times New Roman" w:cs="Times New Roman"/>
          <w:color w:val="000000"/>
          <w:sz w:val="24"/>
          <w:szCs w:val="24"/>
        </w:rPr>
        <w:t xml:space="preserve">Examples of comparative analyses used to </w:t>
      </w:r>
      <w:r w:rsidR="006E2DCD" w:rsidRPr="00801CF6">
        <w:rPr>
          <w:rFonts w:ascii="Times New Roman" w:eastAsia="Times New Roman" w:hAnsi="Times New Roman" w:cs="Times New Roman"/>
          <w:color w:val="000000"/>
          <w:sz w:val="24"/>
          <w:szCs w:val="24"/>
        </w:rPr>
        <w:t xml:space="preserve">support a finding </w:t>
      </w:r>
      <w:r w:rsidRPr="00801CF6">
        <w:rPr>
          <w:rFonts w:ascii="Times New Roman" w:eastAsia="Times New Roman" w:hAnsi="Times New Roman" w:cs="Times New Roman"/>
          <w:color w:val="000000"/>
          <w:sz w:val="24"/>
          <w:szCs w:val="24"/>
        </w:rPr>
        <w:t xml:space="preserve"> that the NQTL is comparable to and no more stringently applied in operation include, but are not limited to:</w:t>
      </w:r>
    </w:p>
    <w:p w14:paraId="2B3C8C53" w14:textId="77777777" w:rsidR="00E252D9" w:rsidRPr="00801CF6" w:rsidRDefault="00E252D9" w:rsidP="00E252D9">
      <w:pPr>
        <w:spacing w:after="0"/>
        <w:ind w:left="0" w:firstLine="0"/>
        <w:rPr>
          <w:rFonts w:ascii="Times New Roman" w:eastAsia="Times New Roman" w:hAnsi="Times New Roman" w:cs="Times New Roman"/>
          <w:sz w:val="24"/>
          <w:szCs w:val="24"/>
        </w:rPr>
      </w:pPr>
    </w:p>
    <w:p w14:paraId="04F5606B" w14:textId="7C93CFE0" w:rsidR="00E252D9" w:rsidRPr="00801CF6" w:rsidRDefault="00E252D9" w:rsidP="006277DC">
      <w:pPr>
        <w:numPr>
          <w:ilvl w:val="1"/>
          <w:numId w:val="11"/>
        </w:numPr>
        <w:pBdr>
          <w:top w:val="nil"/>
          <w:left w:val="nil"/>
          <w:bottom w:val="nil"/>
          <w:right w:val="nil"/>
          <w:between w:val="nil"/>
        </w:pBdr>
        <w:rPr>
          <w:rFonts w:ascii="Times New Roman" w:hAnsi="Times New Roman" w:cs="Times New Roman"/>
          <w:color w:val="000000"/>
          <w:sz w:val="24"/>
          <w:szCs w:val="24"/>
        </w:rPr>
      </w:pPr>
      <w:r w:rsidRPr="00801CF6">
        <w:rPr>
          <w:rFonts w:ascii="Times New Roman" w:eastAsia="Times New Roman" w:hAnsi="Times New Roman" w:cs="Times New Roman"/>
          <w:sz w:val="24"/>
          <w:szCs w:val="24"/>
        </w:rPr>
        <w:t xml:space="preserve">Audit results that demonstrate the process of consulting with expert reviewers for medical necessity determinations </w:t>
      </w:r>
      <w:r w:rsidR="00FA3F2E">
        <w:rPr>
          <w:rFonts w:ascii="Times New Roman" w:eastAsia="Times New Roman" w:hAnsi="Times New Roman" w:cs="Times New Roman"/>
          <w:sz w:val="24"/>
          <w:szCs w:val="24"/>
        </w:rPr>
        <w:t xml:space="preserve">applicable to </w:t>
      </w:r>
      <w:r w:rsidR="00FA3F2E" w:rsidRPr="00801CF6">
        <w:rPr>
          <w:rFonts w:ascii="Times New Roman" w:eastAsia="Times New Roman" w:hAnsi="Times New Roman" w:cs="Times New Roman"/>
          <w:sz w:val="24"/>
          <w:szCs w:val="24"/>
        </w:rPr>
        <w:t xml:space="preserve">MH/SUD </w:t>
      </w:r>
      <w:r w:rsidR="0009591D">
        <w:rPr>
          <w:rFonts w:ascii="Times New Roman" w:eastAsia="Times New Roman" w:hAnsi="Times New Roman" w:cs="Times New Roman"/>
          <w:sz w:val="24"/>
          <w:szCs w:val="24"/>
        </w:rPr>
        <w:t>benefits</w:t>
      </w:r>
      <w:r w:rsidR="00FA3F2E">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rPr>
        <w:t>is comparable to and no more stringent than the process of consulting with expert reviewers for</w:t>
      </w:r>
      <w:r w:rsidR="00FA3F2E">
        <w:rPr>
          <w:rFonts w:ascii="Times New Roman" w:eastAsia="Times New Roman" w:hAnsi="Times New Roman" w:cs="Times New Roman"/>
          <w:sz w:val="24"/>
          <w:szCs w:val="24"/>
        </w:rPr>
        <w:t xml:space="preserve"> determinations of</w:t>
      </w:r>
      <w:r w:rsidR="00FA3F2E" w:rsidRPr="00801CF6">
        <w:rPr>
          <w:rFonts w:ascii="Times New Roman" w:eastAsia="Times New Roman" w:hAnsi="Times New Roman" w:cs="Times New Roman"/>
          <w:sz w:val="24"/>
          <w:szCs w:val="24"/>
        </w:rPr>
        <w:t xml:space="preserve"> medical necessity</w:t>
      </w:r>
      <w:r w:rsidRPr="00801CF6">
        <w:rPr>
          <w:rFonts w:ascii="Times New Roman" w:eastAsia="Times New Roman" w:hAnsi="Times New Roman" w:cs="Times New Roman"/>
          <w:sz w:val="24"/>
          <w:szCs w:val="24"/>
        </w:rPr>
        <w:t xml:space="preserve"> </w:t>
      </w:r>
      <w:r w:rsidR="00FA3F2E">
        <w:rPr>
          <w:rFonts w:ascii="Times New Roman" w:eastAsia="Times New Roman" w:hAnsi="Times New Roman" w:cs="Times New Roman"/>
          <w:sz w:val="24"/>
          <w:szCs w:val="24"/>
        </w:rPr>
        <w:t xml:space="preserve">for </w:t>
      </w:r>
      <w:r w:rsidRPr="00801CF6">
        <w:rPr>
          <w:rFonts w:ascii="Times New Roman" w:eastAsia="Times New Roman" w:hAnsi="Times New Roman" w:cs="Times New Roman"/>
          <w:sz w:val="24"/>
          <w:szCs w:val="24"/>
        </w:rPr>
        <w:t>medical/surgical</w:t>
      </w:r>
      <w:r w:rsidR="00FA3F2E">
        <w:rPr>
          <w:rFonts w:ascii="Times New Roman" w:eastAsia="Times New Roman" w:hAnsi="Times New Roman" w:cs="Times New Roman"/>
          <w:sz w:val="24"/>
          <w:szCs w:val="24"/>
        </w:rPr>
        <w:t xml:space="preserve"> </w:t>
      </w:r>
      <w:r w:rsidR="0009591D">
        <w:rPr>
          <w:rFonts w:ascii="Times New Roman" w:eastAsia="Times New Roman" w:hAnsi="Times New Roman" w:cs="Times New Roman"/>
          <w:sz w:val="24"/>
          <w:szCs w:val="24"/>
        </w:rPr>
        <w:t>benefits</w:t>
      </w:r>
      <w:r w:rsidRPr="00801CF6">
        <w:rPr>
          <w:rFonts w:ascii="Times New Roman" w:eastAsia="Times New Roman" w:hAnsi="Times New Roman" w:cs="Times New Roman"/>
          <w:sz w:val="24"/>
          <w:szCs w:val="24"/>
        </w:rPr>
        <w:t>, including the frequency of consultation with expert reviewers and qu</w:t>
      </w:r>
      <w:r w:rsidR="00FA3F2E">
        <w:rPr>
          <w:rFonts w:ascii="Times New Roman" w:eastAsia="Times New Roman" w:hAnsi="Times New Roman" w:cs="Times New Roman"/>
          <w:sz w:val="24"/>
          <w:szCs w:val="24"/>
        </w:rPr>
        <w:t>alifications of staff involved.</w:t>
      </w:r>
      <w:r w:rsidRPr="00801CF6">
        <w:rPr>
          <w:rFonts w:ascii="Times New Roman" w:eastAsia="Times New Roman" w:hAnsi="Times New Roman" w:cs="Times New Roman"/>
          <w:sz w:val="24"/>
          <w:szCs w:val="24"/>
        </w:rPr>
        <w:t xml:space="preserve"> </w:t>
      </w:r>
    </w:p>
    <w:p w14:paraId="54809D52" w14:textId="61E08973" w:rsidR="00E252D9" w:rsidRPr="00801CF6" w:rsidRDefault="00E252D9" w:rsidP="006277DC">
      <w:pPr>
        <w:numPr>
          <w:ilvl w:val="1"/>
          <w:numId w:val="11"/>
        </w:numPr>
        <w:pBdr>
          <w:top w:val="nil"/>
          <w:left w:val="nil"/>
          <w:bottom w:val="nil"/>
          <w:right w:val="nil"/>
          <w:between w:val="nil"/>
        </w:pBdr>
        <w:rPr>
          <w:rFonts w:ascii="Times New Roman" w:hAnsi="Times New Roman" w:cs="Times New Roman"/>
          <w:color w:val="000000"/>
          <w:sz w:val="24"/>
          <w:szCs w:val="24"/>
        </w:rPr>
      </w:pPr>
      <w:r w:rsidRPr="00801CF6">
        <w:rPr>
          <w:rFonts w:ascii="Times New Roman" w:eastAsia="Times New Roman" w:hAnsi="Times New Roman" w:cs="Times New Roman"/>
          <w:sz w:val="24"/>
          <w:szCs w:val="24"/>
        </w:rPr>
        <w:t>Audit results that demonstrate utilization review staff follow comparable processes for determining which information is reasonably necessary for making medical necessity determinations for both MH/SUD review</w:t>
      </w:r>
      <w:r w:rsidR="00FA3F2E">
        <w:rPr>
          <w:rFonts w:ascii="Times New Roman" w:eastAsia="Times New Roman" w:hAnsi="Times New Roman" w:cs="Times New Roman"/>
          <w:sz w:val="24"/>
          <w:szCs w:val="24"/>
        </w:rPr>
        <w:t>s and medical/surgical reviews.</w:t>
      </w:r>
    </w:p>
    <w:p w14:paraId="2B10E3FA" w14:textId="05563594" w:rsidR="00E252D9" w:rsidRPr="00801CF6" w:rsidRDefault="00E252D9" w:rsidP="006277DC">
      <w:pPr>
        <w:numPr>
          <w:ilvl w:val="1"/>
          <w:numId w:val="11"/>
        </w:numPr>
        <w:pBdr>
          <w:top w:val="nil"/>
          <w:left w:val="nil"/>
          <w:bottom w:val="nil"/>
          <w:right w:val="nil"/>
          <w:between w:val="nil"/>
        </w:pBdr>
        <w:rPr>
          <w:rFonts w:ascii="Times New Roman" w:hAnsi="Times New Roman" w:cs="Times New Roman"/>
          <w:color w:val="000000"/>
          <w:sz w:val="24"/>
          <w:szCs w:val="24"/>
        </w:rPr>
      </w:pPr>
      <w:r w:rsidRPr="00801CF6">
        <w:rPr>
          <w:rFonts w:ascii="Times New Roman" w:eastAsia="Times New Roman" w:hAnsi="Times New Roman" w:cs="Times New Roman"/>
          <w:sz w:val="24"/>
          <w:szCs w:val="24"/>
        </w:rPr>
        <w:t>Audit/review of denial and appeal rates (both medical and administrative) by service type or benefit</w:t>
      </w:r>
      <w:r w:rsidR="00FA3F2E">
        <w:rPr>
          <w:rFonts w:ascii="Times New Roman" w:eastAsia="Times New Roman" w:hAnsi="Times New Roman" w:cs="Times New Roman"/>
          <w:sz w:val="24"/>
          <w:szCs w:val="24"/>
        </w:rPr>
        <w:t xml:space="preserve"> category.</w:t>
      </w:r>
    </w:p>
    <w:p w14:paraId="4206B228" w14:textId="482DDC31" w:rsidR="00E252D9" w:rsidRPr="00801CF6" w:rsidRDefault="00E252D9" w:rsidP="006277DC">
      <w:pPr>
        <w:numPr>
          <w:ilvl w:val="1"/>
          <w:numId w:val="11"/>
        </w:numPr>
        <w:pBdr>
          <w:top w:val="nil"/>
          <w:left w:val="nil"/>
          <w:bottom w:val="nil"/>
          <w:right w:val="nil"/>
          <w:between w:val="nil"/>
        </w:pBdr>
        <w:rPr>
          <w:rFonts w:ascii="Times New Roman" w:hAnsi="Times New Roman" w:cs="Times New Roman"/>
          <w:color w:val="000000"/>
          <w:sz w:val="24"/>
          <w:szCs w:val="24"/>
        </w:rPr>
      </w:pPr>
      <w:r w:rsidRPr="00801CF6">
        <w:rPr>
          <w:rFonts w:ascii="Times New Roman" w:eastAsia="Times New Roman" w:hAnsi="Times New Roman" w:cs="Times New Roman"/>
          <w:sz w:val="24"/>
          <w:szCs w:val="24"/>
        </w:rPr>
        <w:t>Audit/review of utilization rev</w:t>
      </w:r>
      <w:r w:rsidR="00FA3F2E">
        <w:rPr>
          <w:rFonts w:ascii="Times New Roman" w:eastAsia="Times New Roman" w:hAnsi="Times New Roman" w:cs="Times New Roman"/>
          <w:sz w:val="24"/>
          <w:szCs w:val="24"/>
        </w:rPr>
        <w:t>iew documentation requirements.</w:t>
      </w:r>
    </w:p>
    <w:p w14:paraId="15ED7530" w14:textId="644CD17F" w:rsidR="00E252D9" w:rsidRPr="00801CF6" w:rsidRDefault="00E252D9" w:rsidP="006277DC">
      <w:pPr>
        <w:numPr>
          <w:ilvl w:val="1"/>
          <w:numId w:val="11"/>
        </w:numPr>
        <w:pBdr>
          <w:top w:val="nil"/>
          <w:left w:val="nil"/>
          <w:bottom w:val="nil"/>
          <w:right w:val="nil"/>
          <w:between w:val="nil"/>
        </w:pBdr>
        <w:rPr>
          <w:rFonts w:ascii="Times New Roman" w:hAnsi="Times New Roman" w:cs="Times New Roman"/>
          <w:color w:val="000000"/>
          <w:sz w:val="24"/>
          <w:szCs w:val="24"/>
        </w:rPr>
      </w:pPr>
      <w:r w:rsidRPr="00801CF6">
        <w:rPr>
          <w:rFonts w:ascii="Times New Roman" w:eastAsia="Times New Roman" w:hAnsi="Times New Roman" w:cs="Times New Roman"/>
          <w:sz w:val="24"/>
          <w:szCs w:val="24"/>
        </w:rPr>
        <w:t>Audit results that indicate that coverage approvals and denials correspond to the</w:t>
      </w:r>
      <w:r w:rsidR="00FA3F2E">
        <w:rPr>
          <w:rFonts w:ascii="Times New Roman" w:eastAsia="Times New Roman" w:hAnsi="Times New Roman" w:cs="Times New Roman"/>
          <w:sz w:val="24"/>
          <w:szCs w:val="24"/>
        </w:rPr>
        <w:t xml:space="preserve"> plan’s criteria and guidelines.</w:t>
      </w:r>
    </w:p>
    <w:p w14:paraId="51B55EF2" w14:textId="508CD1E4" w:rsidR="00E252D9" w:rsidRPr="00801CF6" w:rsidRDefault="00E252D9" w:rsidP="006277DC">
      <w:pPr>
        <w:numPr>
          <w:ilvl w:val="1"/>
          <w:numId w:val="11"/>
        </w:numPr>
        <w:pBdr>
          <w:top w:val="nil"/>
          <w:left w:val="nil"/>
          <w:bottom w:val="nil"/>
          <w:right w:val="nil"/>
          <w:between w:val="nil"/>
        </w:pBdr>
        <w:rPr>
          <w:rFonts w:ascii="Times New Roman" w:hAnsi="Times New Roman" w:cs="Times New Roman"/>
          <w:color w:val="000000"/>
          <w:sz w:val="24"/>
          <w:szCs w:val="24"/>
        </w:rPr>
      </w:pPr>
      <w:r w:rsidRPr="00801CF6">
        <w:rPr>
          <w:rFonts w:ascii="Times New Roman" w:eastAsia="Times New Roman" w:hAnsi="Times New Roman" w:cs="Times New Roman"/>
          <w:sz w:val="24"/>
          <w:szCs w:val="24"/>
        </w:rPr>
        <w:t>A comparison of inter-rater reliability</w:t>
      </w:r>
      <w:r w:rsidR="0009591D">
        <w:rPr>
          <w:rFonts w:ascii="Times New Roman" w:eastAsia="Times New Roman" w:hAnsi="Times New Roman" w:cs="Times New Roman"/>
          <w:sz w:val="24"/>
          <w:szCs w:val="24"/>
        </w:rPr>
        <w:t xml:space="preserve"> (IRR) </w:t>
      </w:r>
      <w:r w:rsidRPr="00801CF6">
        <w:rPr>
          <w:rFonts w:ascii="Times New Roman" w:eastAsia="Times New Roman" w:hAnsi="Times New Roman" w:cs="Times New Roman"/>
          <w:sz w:val="24"/>
          <w:szCs w:val="24"/>
        </w:rPr>
        <w:t>results between MH/SUD rev</w:t>
      </w:r>
      <w:r w:rsidR="00FA3F2E">
        <w:rPr>
          <w:rFonts w:ascii="Times New Roman" w:eastAsia="Times New Roman" w:hAnsi="Times New Roman" w:cs="Times New Roman"/>
          <w:sz w:val="24"/>
          <w:szCs w:val="24"/>
        </w:rPr>
        <w:t>iewers and medical/</w:t>
      </w:r>
      <w:r w:rsidRPr="00801CF6">
        <w:rPr>
          <w:rFonts w:ascii="Times New Roman" w:eastAsia="Times New Roman" w:hAnsi="Times New Roman" w:cs="Times New Roman"/>
          <w:sz w:val="24"/>
          <w:szCs w:val="24"/>
        </w:rPr>
        <w:t xml:space="preserve">surgical reviewers ONLY WHEN it has been demonstrated in the comparative analyses for Step 4 that the development of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sz w:val="24"/>
          <w:szCs w:val="24"/>
        </w:rPr>
        <w:t xml:space="preserve"> criteria </w:t>
      </w:r>
      <w:r w:rsidR="00FA3F2E">
        <w:rPr>
          <w:rFonts w:ascii="Times New Roman" w:eastAsia="Times New Roman" w:hAnsi="Times New Roman" w:cs="Times New Roman"/>
          <w:sz w:val="24"/>
          <w:szCs w:val="24"/>
        </w:rPr>
        <w:t>and</w:t>
      </w:r>
      <w:r w:rsidRPr="00801CF6">
        <w:rPr>
          <w:rFonts w:ascii="Times New Roman" w:eastAsia="Times New Roman" w:hAnsi="Times New Roman" w:cs="Times New Roman"/>
          <w:sz w:val="24"/>
          <w:szCs w:val="24"/>
        </w:rPr>
        <w:t xml:space="preserve"> MH/SUD criteria is comparable and no more stringent. It is the comparability and no more stringency of the criteria themselves, not merely consistency in the interpretation or application of the criteria that is key. For example, an IRR validation would not identify if reviewers were consistently applying a more restrictive fail first standar</w:t>
      </w:r>
      <w:r w:rsidR="00FA3F2E">
        <w:rPr>
          <w:rFonts w:ascii="Times New Roman" w:eastAsia="Times New Roman" w:hAnsi="Times New Roman" w:cs="Times New Roman"/>
          <w:sz w:val="24"/>
          <w:szCs w:val="24"/>
        </w:rPr>
        <w:t xml:space="preserve">d to MH/SUD </w:t>
      </w:r>
      <w:r w:rsidR="0038708F">
        <w:rPr>
          <w:rFonts w:ascii="Times New Roman" w:eastAsia="Times New Roman" w:hAnsi="Times New Roman" w:cs="Times New Roman"/>
          <w:sz w:val="24"/>
          <w:szCs w:val="24"/>
        </w:rPr>
        <w:t xml:space="preserve">benefits </w:t>
      </w:r>
      <w:r w:rsidR="00FA3F2E">
        <w:rPr>
          <w:rFonts w:ascii="Times New Roman" w:eastAsia="Times New Roman" w:hAnsi="Times New Roman" w:cs="Times New Roman"/>
          <w:sz w:val="24"/>
          <w:szCs w:val="24"/>
        </w:rPr>
        <w:t>than to</w:t>
      </w:r>
      <w:r w:rsidRPr="00801CF6">
        <w:rPr>
          <w:rFonts w:ascii="Times New Roman" w:eastAsia="Times New Roman" w:hAnsi="Times New Roman" w:cs="Times New Roman"/>
          <w:sz w:val="24"/>
          <w:szCs w:val="24"/>
        </w:rPr>
        <w:t xml:space="preserve"> </w:t>
      </w:r>
      <w:r w:rsidR="00FA3D0B" w:rsidRPr="00801CF6">
        <w:rPr>
          <w:rFonts w:ascii="Times New Roman" w:eastAsia="Times New Roman" w:hAnsi="Times New Roman" w:cs="Times New Roman"/>
          <w:color w:val="000000"/>
          <w:sz w:val="24"/>
          <w:szCs w:val="24"/>
        </w:rPr>
        <w:t>medical/surgical</w:t>
      </w:r>
      <w:r w:rsidR="0038708F">
        <w:rPr>
          <w:rFonts w:ascii="Times New Roman" w:eastAsia="Times New Roman" w:hAnsi="Times New Roman" w:cs="Times New Roman"/>
          <w:color w:val="000000"/>
          <w:sz w:val="24"/>
          <w:szCs w:val="24"/>
        </w:rPr>
        <w:t xml:space="preserve"> benefits</w:t>
      </w:r>
      <w:r w:rsidRPr="00801CF6">
        <w:rPr>
          <w:rFonts w:ascii="Times New Roman" w:eastAsia="Times New Roman" w:hAnsi="Times New Roman" w:cs="Times New Roman"/>
          <w:sz w:val="24"/>
          <w:szCs w:val="24"/>
        </w:rPr>
        <w:t>, or consistently applying acute criteria to sub-acute care for MH/SUD</w:t>
      </w:r>
      <w:r w:rsidR="0038708F">
        <w:rPr>
          <w:rFonts w:ascii="Times New Roman" w:eastAsia="Times New Roman" w:hAnsi="Times New Roman" w:cs="Times New Roman"/>
          <w:sz w:val="24"/>
          <w:szCs w:val="24"/>
        </w:rPr>
        <w:t xml:space="preserve"> conditions</w:t>
      </w:r>
      <w:r w:rsidRPr="00801CF6">
        <w:rPr>
          <w:rFonts w:ascii="Times New Roman" w:eastAsia="Times New Roman" w:hAnsi="Times New Roman" w:cs="Times New Roman"/>
          <w:sz w:val="24"/>
          <w:szCs w:val="24"/>
        </w:rPr>
        <w:t>.</w:t>
      </w:r>
    </w:p>
    <w:p w14:paraId="36083FB5" w14:textId="4292CB04" w:rsidR="00E252D9" w:rsidRPr="00801CF6" w:rsidRDefault="00E252D9" w:rsidP="006277DC">
      <w:pPr>
        <w:numPr>
          <w:ilvl w:val="1"/>
          <w:numId w:val="11"/>
        </w:numPr>
        <w:pBdr>
          <w:top w:val="nil"/>
          <w:left w:val="nil"/>
          <w:bottom w:val="nil"/>
          <w:right w:val="nil"/>
          <w:between w:val="nil"/>
        </w:pBdr>
        <w:rPr>
          <w:rFonts w:ascii="Times New Roman" w:hAnsi="Times New Roman" w:cs="Times New Roman"/>
          <w:color w:val="000000"/>
          <w:sz w:val="24"/>
          <w:szCs w:val="24"/>
        </w:rPr>
      </w:pPr>
      <w:r w:rsidRPr="00801CF6">
        <w:rPr>
          <w:rFonts w:ascii="Times New Roman" w:eastAsia="Times New Roman" w:hAnsi="Times New Roman" w:cs="Times New Roman"/>
          <w:sz w:val="24"/>
          <w:szCs w:val="24"/>
        </w:rPr>
        <w:t>Analyses to determine whether out-of-network and emergency room</w:t>
      </w:r>
      <w:r w:rsidR="005022A1">
        <w:rPr>
          <w:rFonts w:ascii="Times New Roman" w:eastAsia="Times New Roman" w:hAnsi="Times New Roman" w:cs="Times New Roman"/>
          <w:sz w:val="24"/>
          <w:szCs w:val="24"/>
        </w:rPr>
        <w:t xml:space="preserve"> </w:t>
      </w:r>
      <w:r w:rsidRPr="00801CF6">
        <w:rPr>
          <w:rFonts w:ascii="Times New Roman" w:eastAsia="Times New Roman" w:hAnsi="Times New Roman" w:cs="Times New Roman"/>
          <w:sz w:val="24"/>
          <w:szCs w:val="24"/>
        </w:rPr>
        <w:t xml:space="preserve">utilization </w:t>
      </w:r>
      <w:r w:rsidR="006E2DCD" w:rsidRPr="00801CF6">
        <w:rPr>
          <w:rFonts w:ascii="Times New Roman" w:eastAsia="Times New Roman" w:hAnsi="Times New Roman" w:cs="Times New Roman"/>
          <w:sz w:val="24"/>
          <w:szCs w:val="24"/>
        </w:rPr>
        <w:t xml:space="preserve">and network gap exception utilization </w:t>
      </w:r>
      <w:r w:rsidRPr="00801CF6">
        <w:rPr>
          <w:rFonts w:ascii="Times New Roman" w:eastAsia="Times New Roman" w:hAnsi="Times New Roman" w:cs="Times New Roman"/>
          <w:sz w:val="24"/>
          <w:szCs w:val="24"/>
        </w:rPr>
        <w:t xml:space="preserve">by </w:t>
      </w:r>
      <w:r w:rsidR="00FA3F2E">
        <w:rPr>
          <w:rFonts w:ascii="Times New Roman" w:eastAsia="Times New Roman" w:hAnsi="Times New Roman" w:cs="Times New Roman"/>
          <w:sz w:val="24"/>
          <w:szCs w:val="24"/>
        </w:rPr>
        <w:t xml:space="preserve">members and </w:t>
      </w:r>
      <w:r w:rsidRPr="00801CF6">
        <w:rPr>
          <w:rFonts w:ascii="Times New Roman" w:eastAsia="Times New Roman" w:hAnsi="Times New Roman" w:cs="Times New Roman"/>
          <w:sz w:val="24"/>
          <w:szCs w:val="24"/>
        </w:rPr>
        <w:t xml:space="preserve">beneficiaries for MH/SUD </w:t>
      </w:r>
      <w:r w:rsidR="0038708F">
        <w:rPr>
          <w:rFonts w:ascii="Times New Roman" w:eastAsia="Times New Roman" w:hAnsi="Times New Roman" w:cs="Times New Roman"/>
          <w:sz w:val="24"/>
          <w:szCs w:val="24"/>
        </w:rPr>
        <w:lastRenderedPageBreak/>
        <w:t>services</w:t>
      </w:r>
      <w:r w:rsidRPr="00801CF6">
        <w:rPr>
          <w:rFonts w:ascii="Times New Roman" w:eastAsia="Times New Roman" w:hAnsi="Times New Roman" w:cs="Times New Roman"/>
          <w:sz w:val="24"/>
          <w:szCs w:val="24"/>
        </w:rPr>
        <w:t xml:space="preserve"> are comparable to those for out-of-network utilization </w:t>
      </w:r>
      <w:r w:rsidR="006E2DCD" w:rsidRPr="00801CF6">
        <w:rPr>
          <w:rFonts w:ascii="Times New Roman" w:eastAsia="Times New Roman" w:hAnsi="Times New Roman" w:cs="Times New Roman"/>
          <w:sz w:val="24"/>
          <w:szCs w:val="24"/>
        </w:rPr>
        <w:t xml:space="preserve">and network gap exception utilization </w:t>
      </w:r>
      <w:r w:rsidRPr="00801CF6">
        <w:rPr>
          <w:rFonts w:ascii="Times New Roman" w:eastAsia="Times New Roman" w:hAnsi="Times New Roman" w:cs="Times New Roman"/>
          <w:sz w:val="24"/>
          <w:szCs w:val="24"/>
        </w:rPr>
        <w:t>for similar types of medical services withi</w:t>
      </w:r>
      <w:r w:rsidR="00FA3F2E">
        <w:rPr>
          <w:rFonts w:ascii="Times New Roman" w:eastAsia="Times New Roman" w:hAnsi="Times New Roman" w:cs="Times New Roman"/>
          <w:sz w:val="24"/>
          <w:szCs w:val="24"/>
        </w:rPr>
        <w:t>n each benefit classification.</w:t>
      </w:r>
    </w:p>
    <w:p w14:paraId="7580DBC4" w14:textId="75C05878" w:rsidR="00E252D9" w:rsidRPr="00801CF6" w:rsidRDefault="00E252D9" w:rsidP="008252BA">
      <w:pPr>
        <w:numPr>
          <w:ilvl w:val="1"/>
          <w:numId w:val="11"/>
        </w:numPr>
        <w:pBdr>
          <w:top w:val="nil"/>
          <w:left w:val="nil"/>
          <w:bottom w:val="nil"/>
          <w:right w:val="nil"/>
          <w:between w:val="nil"/>
        </w:pBdr>
        <w:rPr>
          <w:rFonts w:ascii="Times New Roman" w:hAnsi="Times New Roman" w:cs="Times New Roman"/>
          <w:color w:val="000000"/>
          <w:sz w:val="24"/>
          <w:szCs w:val="24"/>
        </w:rPr>
      </w:pPr>
      <w:r w:rsidRPr="00801CF6">
        <w:rPr>
          <w:rFonts w:ascii="Times New Roman" w:eastAsia="Times New Roman" w:hAnsi="Times New Roman" w:cs="Times New Roman"/>
          <w:sz w:val="24"/>
          <w:szCs w:val="24"/>
        </w:rPr>
        <w:t>Analyses of provider in-network participation rates (</w:t>
      </w:r>
      <w:r w:rsidR="00DB6AF5">
        <w:rPr>
          <w:rFonts w:ascii="Times New Roman" w:eastAsia="Times New Roman" w:hAnsi="Times New Roman" w:cs="Times New Roman"/>
          <w:sz w:val="24"/>
          <w:szCs w:val="24"/>
        </w:rPr>
        <w:t>such as</w:t>
      </w:r>
      <w:r w:rsidR="0038708F">
        <w:rPr>
          <w:rFonts w:ascii="Times New Roman" w:eastAsia="Times New Roman" w:hAnsi="Times New Roman" w:cs="Times New Roman"/>
          <w:sz w:val="24"/>
          <w:szCs w:val="24"/>
        </w:rPr>
        <w:t>,</w:t>
      </w:r>
      <w:r w:rsidRPr="00801CF6">
        <w:rPr>
          <w:rFonts w:ascii="Times New Roman" w:eastAsia="Times New Roman" w:hAnsi="Times New Roman" w:cs="Times New Roman"/>
          <w:sz w:val="24"/>
          <w:szCs w:val="24"/>
        </w:rPr>
        <w:t xml:space="preserve"> wait times for appointments, volume of claims filed, </w:t>
      </w:r>
      <w:r w:rsidR="00160029">
        <w:rPr>
          <w:rFonts w:ascii="Times New Roman" w:eastAsia="Times New Roman" w:hAnsi="Times New Roman" w:cs="Times New Roman"/>
          <w:sz w:val="24"/>
          <w:szCs w:val="24"/>
        </w:rPr>
        <w:t xml:space="preserve">and </w:t>
      </w:r>
      <w:r w:rsidRPr="00801CF6">
        <w:rPr>
          <w:rFonts w:ascii="Times New Roman" w:eastAsia="Times New Roman" w:hAnsi="Times New Roman" w:cs="Times New Roman"/>
          <w:sz w:val="24"/>
          <w:szCs w:val="24"/>
        </w:rPr>
        <w:t>types of services provided).</w:t>
      </w:r>
    </w:p>
    <w:p w14:paraId="78B5188E" w14:textId="4A03A88E" w:rsidR="00BC49D1" w:rsidRPr="00FA3F2E" w:rsidRDefault="005022A1" w:rsidP="00FA3F2E">
      <w:pPr>
        <w:pBdr>
          <w:top w:val="nil"/>
          <w:left w:val="nil"/>
          <w:bottom w:val="nil"/>
          <w:right w:val="nil"/>
          <w:between w:val="nil"/>
        </w:pBdr>
        <w:rPr>
          <w:rFonts w:ascii="Times New Roman" w:hAnsi="Times New Roman" w:cs="Times New Roman"/>
          <w:color w:val="000000"/>
          <w:sz w:val="24"/>
          <w:szCs w:val="24"/>
        </w:rPr>
      </w:pPr>
      <w:r w:rsidRPr="00FA3F2E">
        <w:rPr>
          <w:rFonts w:ascii="Times New Roman" w:eastAsia="Times New Roman" w:hAnsi="Times New Roman" w:cs="Times New Roman"/>
          <w:color w:val="000000"/>
          <w:sz w:val="24"/>
          <w:szCs w:val="24"/>
        </w:rPr>
        <w:t>A</w:t>
      </w:r>
      <w:r w:rsidR="00BC49D1" w:rsidRPr="00FA3F2E">
        <w:rPr>
          <w:rFonts w:ascii="Times New Roman" w:eastAsia="Times New Roman" w:hAnsi="Times New Roman" w:cs="Times New Roman"/>
          <w:color w:val="000000"/>
          <w:sz w:val="24"/>
          <w:szCs w:val="24"/>
        </w:rPr>
        <w:t xml:space="preserve">ll disparities in data provided in the </w:t>
      </w:r>
      <w:r w:rsidR="003670A7" w:rsidRPr="00FA3F2E">
        <w:rPr>
          <w:rFonts w:ascii="Times New Roman" w:eastAsia="Times New Roman" w:hAnsi="Times New Roman" w:cs="Times New Roman"/>
          <w:color w:val="000000"/>
          <w:sz w:val="24"/>
          <w:szCs w:val="24"/>
        </w:rPr>
        <w:t>d</w:t>
      </w:r>
      <w:r w:rsidR="00BC49D1" w:rsidRPr="00FA3F2E">
        <w:rPr>
          <w:rFonts w:ascii="Times New Roman" w:eastAsia="Times New Roman" w:hAnsi="Times New Roman" w:cs="Times New Roman"/>
          <w:color w:val="000000"/>
          <w:sz w:val="24"/>
          <w:szCs w:val="24"/>
        </w:rPr>
        <w:t xml:space="preserve">ata </w:t>
      </w:r>
      <w:r w:rsidR="003670A7" w:rsidRPr="00FA3F2E">
        <w:rPr>
          <w:rFonts w:ascii="Times New Roman" w:eastAsia="Times New Roman" w:hAnsi="Times New Roman" w:cs="Times New Roman"/>
          <w:color w:val="000000"/>
          <w:sz w:val="24"/>
          <w:szCs w:val="24"/>
        </w:rPr>
        <w:t>s</w:t>
      </w:r>
      <w:r w:rsidR="00BC49D1" w:rsidRPr="00FA3F2E">
        <w:rPr>
          <w:rFonts w:ascii="Times New Roman" w:eastAsia="Times New Roman" w:hAnsi="Times New Roman" w:cs="Times New Roman"/>
          <w:color w:val="000000"/>
          <w:sz w:val="24"/>
          <w:szCs w:val="24"/>
        </w:rPr>
        <w:t>upplements must be addressed</w:t>
      </w:r>
      <w:r w:rsidR="001D405A" w:rsidRPr="00FA3F2E">
        <w:rPr>
          <w:rFonts w:ascii="Times New Roman" w:eastAsia="Times New Roman" w:hAnsi="Times New Roman" w:cs="Times New Roman"/>
          <w:color w:val="000000"/>
          <w:sz w:val="24"/>
          <w:szCs w:val="24"/>
        </w:rPr>
        <w:t xml:space="preserve">.  </w:t>
      </w:r>
    </w:p>
    <w:p w14:paraId="0B3F6B80" w14:textId="4CE62872" w:rsidR="00E252D9" w:rsidRPr="00801CF6" w:rsidRDefault="00E252D9" w:rsidP="00FA3F2E">
      <w:pPr>
        <w:pBdr>
          <w:top w:val="nil"/>
          <w:left w:val="nil"/>
          <w:bottom w:val="nil"/>
          <w:right w:val="nil"/>
          <w:between w:val="nil"/>
        </w:pBdr>
        <w:ind w:left="360" w:firstLine="0"/>
        <w:rPr>
          <w:rFonts w:ascii="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Failure to include all of the information described in the instructions for Step 5 will result in a finding that a carrier failed to submit a complete analysis report and may result in the actions specified in § 15-144(j). </w:t>
      </w:r>
    </w:p>
    <w:p w14:paraId="0FEA6824" w14:textId="778B9028" w:rsidR="00380ECF" w:rsidRPr="00801CF6" w:rsidRDefault="00380ECF" w:rsidP="00380ECF">
      <w:pPr>
        <w:pStyle w:val="Heading2"/>
        <w:ind w:left="0" w:firstLine="0"/>
        <w:rPr>
          <w:sz w:val="24"/>
          <w:szCs w:val="24"/>
        </w:rPr>
      </w:pPr>
      <w:bookmarkStart w:id="41" w:name="_Toc229123350"/>
      <w:bookmarkStart w:id="42" w:name="_Toc229123628"/>
      <w:r w:rsidRPr="00801CF6">
        <w:rPr>
          <w:b/>
          <w:sz w:val="24"/>
          <w:szCs w:val="24"/>
        </w:rPr>
        <w:t>Step 6</w:t>
      </w:r>
      <w:r w:rsidR="005022A1">
        <w:rPr>
          <w:b/>
          <w:sz w:val="24"/>
          <w:szCs w:val="24"/>
        </w:rPr>
        <w:t>:</w:t>
      </w:r>
      <w:r w:rsidRPr="00801CF6">
        <w:rPr>
          <w:b/>
          <w:sz w:val="24"/>
          <w:szCs w:val="24"/>
        </w:rPr>
        <w:t xml:space="preserve"> Delegated Entities</w:t>
      </w:r>
      <w:bookmarkEnd w:id="41"/>
      <w:bookmarkEnd w:id="42"/>
    </w:p>
    <w:p w14:paraId="49D88E10" w14:textId="1DDB28C2" w:rsidR="00380ECF" w:rsidRPr="00801CF6" w:rsidRDefault="00380ECF" w:rsidP="00B732AC">
      <w:pPr>
        <w:spacing w:after="0" w:line="240"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Identify the measures used to ensure comparable design, development, and application of each NQTL that is implemented by the carrier and any entity delegated by the carrier to manage MH benefits, SUD benefits, or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sz w:val="24"/>
          <w:szCs w:val="24"/>
        </w:rPr>
        <w:t xml:space="preserve"> benefits on behalf of the carrier. (§15-144(e)(</w:t>
      </w:r>
      <w:r w:rsidR="00FD06B6">
        <w:rPr>
          <w:rFonts w:ascii="Times New Roman" w:eastAsia="Times New Roman" w:hAnsi="Times New Roman" w:cs="Times New Roman"/>
          <w:sz w:val="24"/>
          <w:szCs w:val="24"/>
        </w:rPr>
        <w:t>6</w:t>
      </w:r>
      <w:r w:rsidRPr="00801CF6">
        <w:rPr>
          <w:rFonts w:ascii="Times New Roman" w:eastAsia="Times New Roman" w:hAnsi="Times New Roman" w:cs="Times New Roman"/>
          <w:sz w:val="24"/>
          <w:szCs w:val="24"/>
        </w:rPr>
        <w:t xml:space="preserve">)). </w:t>
      </w:r>
    </w:p>
    <w:p w14:paraId="13CED9DA" w14:textId="77777777" w:rsidR="00380ECF" w:rsidRPr="00801CF6" w:rsidRDefault="00380ECF" w:rsidP="00FA3F2E">
      <w:pPr>
        <w:spacing w:after="0" w:line="240" w:lineRule="auto"/>
        <w:ind w:firstLine="0"/>
        <w:rPr>
          <w:rFonts w:ascii="Times New Roman" w:eastAsia="Times New Roman" w:hAnsi="Times New Roman" w:cs="Times New Roman"/>
          <w:sz w:val="24"/>
          <w:szCs w:val="24"/>
        </w:rPr>
      </w:pPr>
    </w:p>
    <w:p w14:paraId="0188321A" w14:textId="332B7B12" w:rsidR="00380ECF" w:rsidRPr="00801CF6" w:rsidRDefault="00380ECF" w:rsidP="008D6128">
      <w:pPr>
        <w:spacing w:after="0" w:line="240"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This step is only required if administration of a benefit subject to the applicable NQTL has been delegated to another entity, </w:t>
      </w:r>
      <w:r w:rsidR="003B36BD" w:rsidRPr="00801CF6">
        <w:rPr>
          <w:rFonts w:ascii="Times New Roman" w:eastAsia="Times New Roman" w:hAnsi="Times New Roman" w:cs="Times New Roman"/>
          <w:sz w:val="24"/>
          <w:szCs w:val="24"/>
        </w:rPr>
        <w:t xml:space="preserve">for example, when medical necessary determinations are delegated to a managed behavioral health organization. </w:t>
      </w:r>
    </w:p>
    <w:p w14:paraId="60F6C1DF" w14:textId="77777777" w:rsidR="00380ECF" w:rsidRPr="00801CF6" w:rsidRDefault="00380ECF" w:rsidP="00380ECF">
      <w:pPr>
        <w:spacing w:after="0" w:line="240" w:lineRule="auto"/>
        <w:ind w:left="0" w:firstLine="0"/>
        <w:rPr>
          <w:rFonts w:ascii="Times New Roman" w:eastAsia="Times New Roman" w:hAnsi="Times New Roman" w:cs="Times New Roman"/>
          <w:sz w:val="24"/>
          <w:szCs w:val="24"/>
        </w:rPr>
      </w:pPr>
    </w:p>
    <w:p w14:paraId="75786B37" w14:textId="7BB75465" w:rsidR="00380ECF" w:rsidRPr="00801CF6" w:rsidRDefault="00380ECF" w:rsidP="006277D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If the carrier delegates administration or management of certain benefits to a third party vendor or service provider (for example, a private review agent specializing in </w:t>
      </w:r>
      <w:r w:rsidR="00160029">
        <w:rPr>
          <w:rFonts w:ascii="Times New Roman" w:eastAsia="Times New Roman" w:hAnsi="Times New Roman" w:cs="Times New Roman"/>
          <w:color w:val="000000"/>
          <w:sz w:val="24"/>
          <w:szCs w:val="24"/>
        </w:rPr>
        <w:t xml:space="preserve">MH and SUD </w:t>
      </w:r>
      <w:r w:rsidRPr="00801CF6">
        <w:rPr>
          <w:rFonts w:ascii="Times New Roman" w:eastAsia="Times New Roman" w:hAnsi="Times New Roman" w:cs="Times New Roman"/>
          <w:color w:val="000000"/>
          <w:sz w:val="24"/>
          <w:szCs w:val="24"/>
        </w:rPr>
        <w:t xml:space="preserve">benefits or a pharmacy benefits manager), the carrier is responsible for coordinating with the subcontracted entity on the development and application of NQTLs for MH/SUD and medical/surgical benefits to ensure comparability. </w:t>
      </w:r>
    </w:p>
    <w:p w14:paraId="27B6152B" w14:textId="77777777" w:rsidR="00380ECF" w:rsidRPr="00801CF6" w:rsidRDefault="00380ECF" w:rsidP="00380ECF">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p>
    <w:p w14:paraId="0F56D396" w14:textId="77777777" w:rsidR="00380ECF" w:rsidRPr="00801CF6" w:rsidRDefault="00380ECF" w:rsidP="006277D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Include a description of the measures, processes, and standards implemented to ensure collaboration with all vendors and subcontracted entities that exert any influence on the design, development, or application of an NQTL.</w:t>
      </w:r>
    </w:p>
    <w:p w14:paraId="10FFE77A" w14:textId="77777777" w:rsidR="00380ECF" w:rsidRPr="00801CF6" w:rsidRDefault="00380ECF" w:rsidP="00380ECF">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p>
    <w:p w14:paraId="445FFFD2" w14:textId="6E61A6FC" w:rsidR="00380ECF" w:rsidRPr="00801CF6" w:rsidRDefault="00380ECF" w:rsidP="006277D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Include any written procedures or guidelines to ensure that the NQTL is consistently applied to similarly situated individuals.</w:t>
      </w:r>
    </w:p>
    <w:p w14:paraId="31E60696" w14:textId="77777777" w:rsidR="00380ECF" w:rsidRPr="00801CF6" w:rsidRDefault="00380ECF" w:rsidP="00380ECF">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p>
    <w:p w14:paraId="60978687" w14:textId="56B398C4" w:rsidR="00380ECF" w:rsidRPr="00801CF6" w:rsidRDefault="00380ECF" w:rsidP="00380ECF">
      <w:pPr>
        <w:pStyle w:val="Heading2"/>
        <w:ind w:left="0" w:firstLine="0"/>
        <w:rPr>
          <w:sz w:val="24"/>
          <w:szCs w:val="24"/>
        </w:rPr>
      </w:pPr>
      <w:bookmarkStart w:id="43" w:name="_Toc229123351"/>
      <w:bookmarkStart w:id="44" w:name="_Toc229123629"/>
      <w:r w:rsidRPr="00801CF6">
        <w:rPr>
          <w:b/>
          <w:sz w:val="24"/>
          <w:szCs w:val="24"/>
        </w:rPr>
        <w:t>Step 7</w:t>
      </w:r>
      <w:r w:rsidR="00297362">
        <w:rPr>
          <w:b/>
          <w:sz w:val="24"/>
          <w:szCs w:val="24"/>
        </w:rPr>
        <w:t>:</w:t>
      </w:r>
      <w:r w:rsidRPr="00801CF6">
        <w:rPr>
          <w:b/>
          <w:sz w:val="24"/>
          <w:szCs w:val="24"/>
        </w:rPr>
        <w:t xml:space="preserve"> Specific Findings and Conclusions</w:t>
      </w:r>
      <w:bookmarkEnd w:id="43"/>
      <w:bookmarkEnd w:id="44"/>
    </w:p>
    <w:p w14:paraId="0DD4CC7E" w14:textId="7E732E17" w:rsidR="00380ECF" w:rsidRPr="00801CF6" w:rsidRDefault="00380ECF" w:rsidP="00380ECF">
      <w:pPr>
        <w:spacing w:after="0" w:line="240" w:lineRule="auto"/>
        <w:ind w:left="0" w:firstLine="0"/>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Disclose the specific findings and conclusions reached by the carrier that indicate compliance with § 15-144 and the Parity Act. (§15-144(e)(</w:t>
      </w:r>
      <w:r w:rsidR="00FD06B6">
        <w:rPr>
          <w:rFonts w:ascii="Times New Roman" w:eastAsia="Times New Roman" w:hAnsi="Times New Roman" w:cs="Times New Roman"/>
          <w:sz w:val="24"/>
          <w:szCs w:val="24"/>
        </w:rPr>
        <w:t>7</w:t>
      </w:r>
      <w:r w:rsidRPr="00801CF6">
        <w:rPr>
          <w:rFonts w:ascii="Times New Roman" w:eastAsia="Times New Roman" w:hAnsi="Times New Roman" w:cs="Times New Roman"/>
          <w:sz w:val="24"/>
          <w:szCs w:val="24"/>
        </w:rPr>
        <w:t>)).</w:t>
      </w:r>
    </w:p>
    <w:p w14:paraId="37B5BA9E" w14:textId="77777777" w:rsidR="00380ECF" w:rsidRPr="00801CF6" w:rsidRDefault="00380ECF" w:rsidP="00380ECF">
      <w:pPr>
        <w:spacing w:after="0" w:line="240" w:lineRule="auto"/>
        <w:ind w:left="0" w:firstLine="0"/>
        <w:rPr>
          <w:rFonts w:ascii="Times New Roman" w:eastAsia="Times New Roman" w:hAnsi="Times New Roman" w:cs="Times New Roman"/>
          <w:sz w:val="24"/>
          <w:szCs w:val="24"/>
        </w:rPr>
      </w:pPr>
    </w:p>
    <w:p w14:paraId="51C505C1" w14:textId="12FE6CEF" w:rsidR="00380ECF" w:rsidRDefault="00380ECF" w:rsidP="00380ECF">
      <w:pPr>
        <w:widowControl w:val="0"/>
        <w:numPr>
          <w:ilvl w:val="0"/>
          <w:numId w:val="1"/>
        </w:numPr>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Explain the basis for the </w:t>
      </w:r>
      <w:r w:rsidR="003A7B94" w:rsidRPr="00801CF6">
        <w:rPr>
          <w:rFonts w:ascii="Times New Roman" w:eastAsia="Times New Roman" w:hAnsi="Times New Roman" w:cs="Times New Roman"/>
          <w:sz w:val="24"/>
          <w:szCs w:val="24"/>
        </w:rPr>
        <w:t>c</w:t>
      </w:r>
      <w:r w:rsidRPr="00801CF6">
        <w:rPr>
          <w:rFonts w:ascii="Times New Roman" w:eastAsia="Times New Roman" w:hAnsi="Times New Roman" w:cs="Times New Roman"/>
          <w:sz w:val="24"/>
          <w:szCs w:val="24"/>
        </w:rPr>
        <w:t>arrier’s conclusion</w:t>
      </w:r>
      <w:r w:rsidR="00EC2378">
        <w:rPr>
          <w:rFonts w:ascii="Times New Roman" w:eastAsia="Times New Roman" w:hAnsi="Times New Roman" w:cs="Times New Roman"/>
          <w:sz w:val="24"/>
          <w:szCs w:val="24"/>
        </w:rPr>
        <w:t>, if any,</w:t>
      </w:r>
      <w:r w:rsidRPr="00801CF6">
        <w:rPr>
          <w:rFonts w:ascii="Times New Roman" w:eastAsia="Times New Roman" w:hAnsi="Times New Roman" w:cs="Times New Roman"/>
          <w:sz w:val="24"/>
          <w:szCs w:val="24"/>
        </w:rPr>
        <w:t xml:space="preserve"> that both as written and in operation, the processes, strategies, evidentiary standards, and factors used to impose the NQTL on MH/SUD benefits are comparable to and applied no more stringently than the processes, strategies, evidentiary standards, and factors used to impose the NQTL on medical/surgical benefits in each classification of benefits in which the NQTL is imposed.</w:t>
      </w:r>
    </w:p>
    <w:p w14:paraId="45A5C2EC" w14:textId="77777777" w:rsidR="008D6128" w:rsidRDefault="008D6128" w:rsidP="008D6128">
      <w:pPr>
        <w:widowControl w:val="0"/>
        <w:spacing w:after="0" w:line="240" w:lineRule="auto"/>
        <w:ind w:firstLine="0"/>
        <w:rPr>
          <w:rFonts w:ascii="Times New Roman" w:eastAsia="Times New Roman" w:hAnsi="Times New Roman" w:cs="Times New Roman"/>
          <w:sz w:val="24"/>
          <w:szCs w:val="24"/>
        </w:rPr>
      </w:pPr>
    </w:p>
    <w:p w14:paraId="017FA90E" w14:textId="5E6AC732" w:rsidR="008D6128" w:rsidRDefault="008D6128" w:rsidP="00380ECF">
      <w:pPr>
        <w:widowControl w:val="0"/>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data that was collected and evaluated</w:t>
      </w:r>
      <w:r w:rsidR="009C4821">
        <w:rPr>
          <w:rFonts w:ascii="Times New Roman" w:eastAsia="Times New Roman" w:hAnsi="Times New Roman" w:cs="Times New Roman"/>
          <w:sz w:val="24"/>
          <w:szCs w:val="24"/>
        </w:rPr>
        <w:t xml:space="preserve"> (if any)</w:t>
      </w:r>
      <w:r>
        <w:rPr>
          <w:rFonts w:ascii="Times New Roman" w:eastAsia="Times New Roman" w:hAnsi="Times New Roman" w:cs="Times New Roman"/>
          <w:sz w:val="24"/>
          <w:szCs w:val="24"/>
        </w:rPr>
        <w:t xml:space="preserve">, and describe how the evaluation was reasonably designed to assess the impact of each NQTL on outcomes related to the MH/SUD </w:t>
      </w:r>
      <w:r>
        <w:rPr>
          <w:rFonts w:ascii="Times New Roman" w:eastAsia="Times New Roman" w:hAnsi="Times New Roman" w:cs="Times New Roman"/>
          <w:sz w:val="24"/>
          <w:szCs w:val="24"/>
        </w:rPr>
        <w:lastRenderedPageBreak/>
        <w:t xml:space="preserve">benefits and medical/surgical benefits. </w:t>
      </w:r>
    </w:p>
    <w:p w14:paraId="0E7AAC76" w14:textId="42A7BE6B" w:rsidR="00380ECF" w:rsidRPr="00801CF6" w:rsidRDefault="00380ECF" w:rsidP="008D6128">
      <w:pPr>
        <w:widowControl w:val="0"/>
        <w:spacing w:after="0" w:line="240" w:lineRule="auto"/>
        <w:ind w:left="0" w:firstLine="0"/>
        <w:rPr>
          <w:rFonts w:ascii="Times New Roman" w:eastAsia="Times New Roman" w:hAnsi="Times New Roman" w:cs="Times New Roman"/>
          <w:sz w:val="24"/>
          <w:szCs w:val="24"/>
        </w:rPr>
      </w:pPr>
    </w:p>
    <w:p w14:paraId="1336DB33" w14:textId="3289FA1F" w:rsidR="00380ECF" w:rsidRPr="00801CF6" w:rsidRDefault="00380ECF" w:rsidP="00380ECF">
      <w:pPr>
        <w:widowControl w:val="0"/>
        <w:numPr>
          <w:ilvl w:val="0"/>
          <w:numId w:val="1"/>
        </w:numPr>
        <w:spacing w:after="0" w:line="240" w:lineRule="auto"/>
        <w:jc w:val="left"/>
        <w:rPr>
          <w:rFonts w:ascii="Times New Roman" w:eastAsia="Times New Roman" w:hAnsi="Times New Roman" w:cs="Times New Roman"/>
          <w:sz w:val="24"/>
          <w:szCs w:val="24"/>
        </w:rPr>
      </w:pPr>
      <w:r w:rsidRPr="00801CF6">
        <w:rPr>
          <w:rFonts w:ascii="Times New Roman" w:eastAsia="Times New Roman" w:hAnsi="Times New Roman" w:cs="Times New Roman"/>
          <w:color w:val="292929"/>
          <w:sz w:val="24"/>
          <w:szCs w:val="24"/>
          <w:highlight w:val="white"/>
        </w:rPr>
        <w:t>General or conclusory statements of compliance without providing underlying supporting facts, details</w:t>
      </w:r>
      <w:r w:rsidR="00A52D2A" w:rsidRPr="00801CF6">
        <w:rPr>
          <w:rFonts w:ascii="Times New Roman" w:eastAsia="Times New Roman" w:hAnsi="Times New Roman" w:cs="Times New Roman"/>
          <w:color w:val="292929"/>
          <w:sz w:val="24"/>
          <w:szCs w:val="24"/>
          <w:highlight w:val="white"/>
        </w:rPr>
        <w:t>,</w:t>
      </w:r>
      <w:r w:rsidRPr="00801CF6">
        <w:rPr>
          <w:rFonts w:ascii="Times New Roman" w:eastAsia="Times New Roman" w:hAnsi="Times New Roman" w:cs="Times New Roman"/>
          <w:color w:val="292929"/>
          <w:sz w:val="24"/>
          <w:szCs w:val="24"/>
          <w:highlight w:val="white"/>
        </w:rPr>
        <w:t xml:space="preserve"> and evidence are not sufficient.</w:t>
      </w:r>
    </w:p>
    <w:p w14:paraId="3A83ED13" w14:textId="77777777" w:rsidR="00380ECF" w:rsidRPr="00801CF6" w:rsidRDefault="00380ECF" w:rsidP="00380ECF">
      <w:pPr>
        <w:widowControl w:val="0"/>
        <w:spacing w:after="0" w:line="240" w:lineRule="auto"/>
        <w:ind w:firstLine="720"/>
        <w:rPr>
          <w:rFonts w:ascii="Times New Roman" w:eastAsia="Times New Roman" w:hAnsi="Times New Roman" w:cs="Times New Roman"/>
          <w:color w:val="292929"/>
          <w:sz w:val="24"/>
          <w:szCs w:val="24"/>
          <w:highlight w:val="white"/>
        </w:rPr>
      </w:pPr>
    </w:p>
    <w:p w14:paraId="722AB88F" w14:textId="6B5ADD3B" w:rsidR="00380ECF" w:rsidRPr="00801CF6" w:rsidRDefault="00380ECF" w:rsidP="00380ECF">
      <w:pPr>
        <w:widowControl w:val="0"/>
        <w:numPr>
          <w:ilvl w:val="0"/>
          <w:numId w:val="1"/>
        </w:numPr>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The analysis required for this section is not a restatement of prior sections of the report. Instead, carriers </w:t>
      </w:r>
      <w:r w:rsidR="00F671FC">
        <w:rPr>
          <w:rFonts w:ascii="Times New Roman" w:eastAsia="Times New Roman" w:hAnsi="Times New Roman" w:cs="Times New Roman"/>
          <w:sz w:val="24"/>
          <w:szCs w:val="24"/>
        </w:rPr>
        <w:t>must</w:t>
      </w:r>
      <w:r w:rsidRPr="00801CF6">
        <w:rPr>
          <w:rFonts w:ascii="Times New Roman" w:eastAsia="Times New Roman" w:hAnsi="Times New Roman" w:cs="Times New Roman"/>
          <w:sz w:val="24"/>
          <w:szCs w:val="24"/>
        </w:rPr>
        <w:t xml:space="preserve"> prepare a detailed summary of specific findings and conclusions demonstrating that the product</w:t>
      </w:r>
      <w:r w:rsidR="00C85D1F">
        <w:rPr>
          <w:rFonts w:ascii="Times New Roman" w:eastAsia="Times New Roman" w:hAnsi="Times New Roman" w:cs="Times New Roman"/>
          <w:sz w:val="24"/>
          <w:szCs w:val="24"/>
        </w:rPr>
        <w:t xml:space="preserve"> (or plan, as applicable)</w:t>
      </w:r>
      <w:r w:rsidRPr="00801CF6">
        <w:rPr>
          <w:rFonts w:ascii="Times New Roman" w:eastAsia="Times New Roman" w:hAnsi="Times New Roman" w:cs="Times New Roman"/>
          <w:sz w:val="24"/>
          <w:szCs w:val="24"/>
        </w:rPr>
        <w:t xml:space="preserve"> is in compliance with </w:t>
      </w:r>
      <w:r w:rsidR="00C85D1F" w:rsidRPr="00801CF6">
        <w:rPr>
          <w:rFonts w:ascii="Times New Roman" w:eastAsia="Times New Roman" w:hAnsi="Times New Roman" w:cs="Times New Roman"/>
          <w:sz w:val="24"/>
          <w:szCs w:val="24"/>
        </w:rPr>
        <w:t>§ 15-144</w:t>
      </w:r>
      <w:r w:rsidR="00C85D1F">
        <w:rPr>
          <w:rFonts w:ascii="Times New Roman" w:eastAsia="Times New Roman" w:hAnsi="Times New Roman" w:cs="Times New Roman"/>
          <w:sz w:val="24"/>
          <w:szCs w:val="24"/>
        </w:rPr>
        <w:t xml:space="preserve"> and </w:t>
      </w:r>
      <w:r w:rsidRPr="00801CF6">
        <w:rPr>
          <w:rFonts w:ascii="Times New Roman" w:eastAsia="Times New Roman" w:hAnsi="Times New Roman" w:cs="Times New Roman"/>
          <w:sz w:val="24"/>
          <w:szCs w:val="24"/>
        </w:rPr>
        <w:t xml:space="preserve">the Parity Act both as written and in operation.  </w:t>
      </w:r>
    </w:p>
    <w:p w14:paraId="6BF72ACD" w14:textId="77777777" w:rsidR="00380ECF" w:rsidRPr="00801CF6" w:rsidRDefault="00380ECF" w:rsidP="00380ECF">
      <w:pPr>
        <w:widowControl w:val="0"/>
        <w:spacing w:after="0" w:line="240" w:lineRule="auto"/>
        <w:ind w:firstLine="720"/>
        <w:rPr>
          <w:rFonts w:ascii="Times New Roman" w:eastAsia="Times New Roman" w:hAnsi="Times New Roman" w:cs="Times New Roman"/>
          <w:sz w:val="24"/>
          <w:szCs w:val="24"/>
        </w:rPr>
      </w:pPr>
    </w:p>
    <w:p w14:paraId="0431E733" w14:textId="426C301A" w:rsidR="00380ECF" w:rsidRPr="00801CF6" w:rsidRDefault="00380ECF" w:rsidP="00380ECF">
      <w:pPr>
        <w:widowControl w:val="0"/>
        <w:numPr>
          <w:ilvl w:val="0"/>
          <w:numId w:val="1"/>
        </w:numPr>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sz w:val="24"/>
          <w:szCs w:val="24"/>
        </w:rPr>
        <w:t xml:space="preserve">To the extent there are differences noted between MH/SUD and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sz w:val="24"/>
          <w:szCs w:val="24"/>
        </w:rPr>
        <w:t xml:space="preserve"> </w:t>
      </w:r>
      <w:r w:rsidR="00C85D1F">
        <w:rPr>
          <w:rFonts w:ascii="Times New Roman" w:eastAsia="Times New Roman" w:hAnsi="Times New Roman" w:cs="Times New Roman"/>
          <w:sz w:val="24"/>
          <w:szCs w:val="24"/>
        </w:rPr>
        <w:t xml:space="preserve">benefits </w:t>
      </w:r>
      <w:r w:rsidRPr="00801CF6">
        <w:rPr>
          <w:rFonts w:ascii="Times New Roman" w:eastAsia="Times New Roman" w:hAnsi="Times New Roman" w:cs="Times New Roman"/>
          <w:sz w:val="24"/>
          <w:szCs w:val="24"/>
        </w:rPr>
        <w:t>in the foregoing steps, delineate these in the summary and note how they were reconciled in the reporting. For example, if different factors were utilized to determine services to which the NQTLs would apply, explain how the processes, strategies, evidentiary standards, and other factors were determined to be comparable and applied no more stringently as written and in operation.</w:t>
      </w:r>
    </w:p>
    <w:p w14:paraId="097F3239" w14:textId="77777777" w:rsidR="00380ECF" w:rsidRPr="00801CF6" w:rsidRDefault="00380ECF" w:rsidP="00380ECF">
      <w:pPr>
        <w:widowControl w:val="0"/>
        <w:spacing w:after="0" w:line="240" w:lineRule="auto"/>
        <w:ind w:firstLine="720"/>
        <w:rPr>
          <w:rFonts w:ascii="Times New Roman" w:eastAsia="Times New Roman" w:hAnsi="Times New Roman" w:cs="Times New Roman"/>
          <w:sz w:val="24"/>
          <w:szCs w:val="24"/>
        </w:rPr>
      </w:pPr>
    </w:p>
    <w:p w14:paraId="6FB66C00" w14:textId="263FF19A" w:rsidR="00380ECF" w:rsidRPr="00801CF6" w:rsidRDefault="00380ECF" w:rsidP="00380ECF">
      <w:pPr>
        <w:widowControl w:val="0"/>
        <w:numPr>
          <w:ilvl w:val="0"/>
          <w:numId w:val="1"/>
        </w:numPr>
        <w:spacing w:after="0" w:line="240" w:lineRule="auto"/>
        <w:rPr>
          <w:rFonts w:ascii="Times New Roman" w:eastAsia="Times New Roman" w:hAnsi="Times New Roman" w:cs="Times New Roman"/>
          <w:sz w:val="24"/>
          <w:szCs w:val="24"/>
        </w:rPr>
      </w:pPr>
      <w:r w:rsidRPr="00801CF6">
        <w:rPr>
          <w:rFonts w:ascii="Times New Roman" w:eastAsia="Times New Roman" w:hAnsi="Times New Roman" w:cs="Times New Roman"/>
          <w:color w:val="000000"/>
          <w:sz w:val="24"/>
          <w:szCs w:val="24"/>
        </w:rPr>
        <w:t>To the extent there are disparities in any comparative data analyses, including quantitative disparities shown in the required data supplement forms or other in</w:t>
      </w:r>
      <w:r w:rsidR="00F671FC">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operation analyses, explain in detail how these disparities are not evidence of parity non-compliance, and whether steps will be taken to reduce these disparities. Include whether steps have been taken to ensure/improve access to in-network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color w:val="000000"/>
          <w:sz w:val="24"/>
          <w:szCs w:val="24"/>
        </w:rPr>
        <w:t xml:space="preserve"> providers and whether the same or comparable steps have been taken for MH/SUD</w:t>
      </w:r>
      <w:r w:rsidR="00C85D1F">
        <w:rPr>
          <w:rFonts w:ascii="Times New Roman" w:eastAsia="Times New Roman" w:hAnsi="Times New Roman" w:cs="Times New Roman"/>
          <w:color w:val="000000"/>
          <w:sz w:val="24"/>
          <w:szCs w:val="24"/>
        </w:rPr>
        <w:t xml:space="preserve"> providers</w:t>
      </w:r>
      <w:r w:rsidRPr="00801CF6">
        <w:rPr>
          <w:rFonts w:ascii="Times New Roman" w:eastAsia="Times New Roman" w:hAnsi="Times New Roman" w:cs="Times New Roman"/>
          <w:color w:val="000000"/>
          <w:sz w:val="24"/>
          <w:szCs w:val="24"/>
        </w:rPr>
        <w:t>.</w:t>
      </w:r>
    </w:p>
    <w:p w14:paraId="7D9B793A" w14:textId="77777777" w:rsidR="00E74C48" w:rsidRPr="00801CF6" w:rsidRDefault="00E74C48" w:rsidP="00380ECF">
      <w:pPr>
        <w:rPr>
          <w:rFonts w:ascii="Times New Roman" w:hAnsi="Times New Roman" w:cs="Times New Roman"/>
          <w:sz w:val="24"/>
          <w:szCs w:val="24"/>
        </w:rPr>
      </w:pPr>
    </w:p>
    <w:p w14:paraId="4635D562" w14:textId="6C998C10" w:rsidR="00FE79E6" w:rsidRPr="00801CF6" w:rsidRDefault="00FE79E6" w:rsidP="004F0CD8">
      <w:pPr>
        <w:pStyle w:val="Heading1"/>
        <w:jc w:val="center"/>
      </w:pPr>
      <w:bookmarkStart w:id="45" w:name="_Toc229123352"/>
      <w:bookmarkStart w:id="46" w:name="_Toc229123630"/>
      <w:r w:rsidRPr="00801CF6">
        <w:t xml:space="preserve">INSTRUCTIONS FOR </w:t>
      </w:r>
      <w:r w:rsidR="005022A1">
        <w:t>NQTL</w:t>
      </w:r>
      <w:r w:rsidR="000418CF">
        <w:t xml:space="preserve"> DATA SUPPLEMENTS</w:t>
      </w:r>
      <w:bookmarkEnd w:id="45"/>
      <w:bookmarkEnd w:id="46"/>
    </w:p>
    <w:p w14:paraId="00ED87DA" w14:textId="77777777" w:rsidR="00FE79E6" w:rsidRPr="00801CF6" w:rsidRDefault="00FE79E6">
      <w:pPr>
        <w:spacing w:after="0"/>
        <w:ind w:left="0" w:firstLine="0"/>
        <w:rPr>
          <w:rFonts w:ascii="Times New Roman" w:eastAsia="Times New Roman" w:hAnsi="Times New Roman" w:cs="Times New Roman"/>
          <w:sz w:val="24"/>
          <w:szCs w:val="24"/>
        </w:rPr>
      </w:pPr>
    </w:p>
    <w:p w14:paraId="51ACCF0A" w14:textId="6488B27A" w:rsidR="00786FAF" w:rsidRDefault="0002013D" w:rsidP="000418CF">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MIA has provided data supplement templates</w:t>
      </w:r>
      <w:r w:rsidR="00C85D1F">
        <w:rPr>
          <w:rFonts w:ascii="Times New Roman" w:eastAsia="Times New Roman" w:hAnsi="Times New Roman" w:cs="Times New Roman"/>
          <w:sz w:val="24"/>
          <w:szCs w:val="24"/>
        </w:rPr>
        <w:t xml:space="preserve"> and instructions</w:t>
      </w:r>
      <w:r>
        <w:rPr>
          <w:rFonts w:ascii="Times New Roman" w:eastAsia="Times New Roman" w:hAnsi="Times New Roman" w:cs="Times New Roman"/>
          <w:sz w:val="24"/>
          <w:szCs w:val="24"/>
        </w:rPr>
        <w:t xml:space="preserve"> (embedded above, in </w:t>
      </w:r>
      <w:r w:rsidR="00F671FC">
        <w:rPr>
          <w:rFonts w:ascii="Times New Roman" w:eastAsia="Times New Roman" w:hAnsi="Times New Roman" w:cs="Times New Roman"/>
          <w:sz w:val="24"/>
          <w:szCs w:val="24"/>
        </w:rPr>
        <w:t>“</w:t>
      </w:r>
      <w:r w:rsidR="00C85D1F">
        <w:rPr>
          <w:rFonts w:ascii="Times New Roman" w:eastAsia="Times New Roman" w:hAnsi="Times New Roman" w:cs="Times New Roman"/>
          <w:sz w:val="24"/>
          <w:szCs w:val="24"/>
        </w:rPr>
        <w:t>Data Supplements</w:t>
      </w:r>
      <w:r w:rsidR="00F671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C48C0">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carriers </w:t>
      </w:r>
      <w:r w:rsidR="005C48C0">
        <w:rPr>
          <w:rFonts w:ascii="Times New Roman" w:eastAsia="Times New Roman" w:hAnsi="Times New Roman" w:cs="Times New Roman"/>
          <w:sz w:val="24"/>
          <w:szCs w:val="24"/>
        </w:rPr>
        <w:t xml:space="preserve">to use </w:t>
      </w:r>
      <w:r>
        <w:rPr>
          <w:rFonts w:ascii="Times New Roman" w:eastAsia="Times New Roman" w:hAnsi="Times New Roman" w:cs="Times New Roman"/>
          <w:sz w:val="24"/>
          <w:szCs w:val="24"/>
        </w:rPr>
        <w:t>in documenting their comparative analyses for</w:t>
      </w:r>
      <w:r w:rsidR="005C48C0">
        <w:rPr>
          <w:rFonts w:ascii="Times New Roman" w:eastAsia="Times New Roman" w:hAnsi="Times New Roman" w:cs="Times New Roman"/>
          <w:sz w:val="24"/>
          <w:szCs w:val="24"/>
        </w:rPr>
        <w:t xml:space="preserve"> the </w:t>
      </w:r>
      <w:r w:rsidR="00EC2378">
        <w:rPr>
          <w:rFonts w:ascii="Times New Roman" w:eastAsia="Times New Roman" w:hAnsi="Times New Roman" w:cs="Times New Roman"/>
          <w:sz w:val="24"/>
          <w:szCs w:val="24"/>
        </w:rPr>
        <w:t>2026</w:t>
      </w:r>
      <w:r w:rsidR="005C48C0">
        <w:rPr>
          <w:rFonts w:ascii="Times New Roman" w:eastAsia="Times New Roman" w:hAnsi="Times New Roman" w:cs="Times New Roman"/>
          <w:sz w:val="24"/>
          <w:szCs w:val="24"/>
        </w:rPr>
        <w:t xml:space="preserve"> reporting period</w:t>
      </w:r>
      <w:r w:rsidR="00EC2378">
        <w:rPr>
          <w:rFonts w:ascii="Times New Roman" w:eastAsia="Times New Roman" w:hAnsi="Times New Roman" w:cs="Times New Roman"/>
          <w:sz w:val="24"/>
          <w:szCs w:val="24"/>
        </w:rPr>
        <w:t>. These templates</w:t>
      </w:r>
      <w:r w:rsidR="00526058">
        <w:rPr>
          <w:rFonts w:ascii="Times New Roman" w:eastAsia="Times New Roman" w:hAnsi="Times New Roman" w:cs="Times New Roman"/>
          <w:sz w:val="24"/>
          <w:szCs w:val="24"/>
        </w:rPr>
        <w:t xml:space="preserve"> supplement this</w:t>
      </w:r>
      <w:r>
        <w:rPr>
          <w:rFonts w:ascii="Times New Roman" w:eastAsia="Times New Roman" w:hAnsi="Times New Roman" w:cs="Times New Roman"/>
          <w:sz w:val="24"/>
          <w:szCs w:val="24"/>
        </w:rPr>
        <w:t xml:space="preserve"> Seven Step Analysis and address information that is necessary to show compliance. </w:t>
      </w:r>
      <w:r w:rsidRPr="00453762">
        <w:rPr>
          <w:rFonts w:ascii="Times New Roman" w:eastAsia="Times New Roman" w:hAnsi="Times New Roman" w:cs="Times New Roman"/>
          <w:i/>
          <w:sz w:val="24"/>
          <w:szCs w:val="24"/>
        </w:rPr>
        <w:t>Use of the data supplements is required</w:t>
      </w:r>
      <w:r>
        <w:rPr>
          <w:rFonts w:ascii="Times New Roman" w:eastAsia="Times New Roman" w:hAnsi="Times New Roman" w:cs="Times New Roman"/>
          <w:sz w:val="24"/>
          <w:szCs w:val="24"/>
        </w:rPr>
        <w:t xml:space="preserve">. </w:t>
      </w:r>
      <w:r w:rsidR="00786FAF" w:rsidRPr="00801CF6">
        <w:rPr>
          <w:rFonts w:ascii="Times New Roman" w:eastAsia="Times New Roman" w:hAnsi="Times New Roman" w:cs="Times New Roman"/>
          <w:sz w:val="24"/>
          <w:szCs w:val="24"/>
        </w:rPr>
        <w:t>Narrative</w:t>
      </w:r>
      <w:r w:rsidR="00444EA7">
        <w:rPr>
          <w:rFonts w:ascii="Times New Roman" w:eastAsia="Times New Roman" w:hAnsi="Times New Roman" w:cs="Times New Roman"/>
          <w:sz w:val="24"/>
          <w:szCs w:val="24"/>
        </w:rPr>
        <w:t xml:space="preserve"> statements</w:t>
      </w:r>
      <w:r w:rsidR="00786FAF" w:rsidRPr="00801CF6">
        <w:rPr>
          <w:rFonts w:ascii="Times New Roman" w:eastAsia="Times New Roman" w:hAnsi="Times New Roman" w:cs="Times New Roman"/>
          <w:sz w:val="24"/>
          <w:szCs w:val="24"/>
        </w:rPr>
        <w:t xml:space="preserve"> and </w:t>
      </w:r>
      <w:r w:rsidR="00EC2378">
        <w:rPr>
          <w:rFonts w:ascii="Times New Roman" w:eastAsia="Times New Roman" w:hAnsi="Times New Roman" w:cs="Times New Roman"/>
          <w:sz w:val="24"/>
          <w:szCs w:val="24"/>
        </w:rPr>
        <w:t xml:space="preserve">the </w:t>
      </w:r>
      <w:r w:rsidR="00786FAF" w:rsidRPr="00801CF6">
        <w:rPr>
          <w:rFonts w:ascii="Times New Roman" w:eastAsia="Times New Roman" w:hAnsi="Times New Roman" w:cs="Times New Roman"/>
          <w:sz w:val="24"/>
          <w:szCs w:val="24"/>
        </w:rPr>
        <w:t xml:space="preserve">data </w:t>
      </w:r>
      <w:r w:rsidR="00F75F33">
        <w:rPr>
          <w:rFonts w:ascii="Times New Roman" w:eastAsia="Times New Roman" w:hAnsi="Times New Roman" w:cs="Times New Roman"/>
          <w:sz w:val="24"/>
          <w:szCs w:val="24"/>
        </w:rPr>
        <w:t xml:space="preserve">required </w:t>
      </w:r>
      <w:r w:rsidR="00786FAF" w:rsidRPr="00801CF6">
        <w:rPr>
          <w:rFonts w:ascii="Times New Roman" w:eastAsia="Times New Roman" w:hAnsi="Times New Roman" w:cs="Times New Roman"/>
          <w:sz w:val="24"/>
          <w:szCs w:val="24"/>
        </w:rPr>
        <w:t xml:space="preserve">must be entered into the fields of the </w:t>
      </w:r>
      <w:r w:rsidR="00DA6958">
        <w:rPr>
          <w:rFonts w:ascii="Times New Roman" w:eastAsia="Times New Roman" w:hAnsi="Times New Roman" w:cs="Times New Roman"/>
          <w:sz w:val="24"/>
          <w:szCs w:val="24"/>
        </w:rPr>
        <w:t xml:space="preserve">applicable </w:t>
      </w:r>
      <w:r w:rsidR="00453762">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 xml:space="preserve">supplement template. </w:t>
      </w:r>
      <w:r w:rsidR="00786FAF" w:rsidRPr="00801CF6">
        <w:rPr>
          <w:rFonts w:ascii="Times New Roman" w:eastAsia="Times New Roman" w:hAnsi="Times New Roman" w:cs="Times New Roman"/>
          <w:sz w:val="24"/>
          <w:szCs w:val="24"/>
        </w:rPr>
        <w:t xml:space="preserve"> </w:t>
      </w:r>
    </w:p>
    <w:p w14:paraId="379BAAC5" w14:textId="3D79576C" w:rsidR="00DA6958" w:rsidRDefault="00DA6958" w:rsidP="000418CF">
      <w:pPr>
        <w:spacing w:after="0"/>
        <w:ind w:left="0" w:firstLine="0"/>
        <w:rPr>
          <w:rFonts w:ascii="Times New Roman" w:eastAsia="Times New Roman" w:hAnsi="Times New Roman" w:cs="Times New Roman"/>
          <w:sz w:val="24"/>
          <w:szCs w:val="24"/>
        </w:rPr>
      </w:pPr>
    </w:p>
    <w:p w14:paraId="39A7B1A0" w14:textId="0A1A29F9" w:rsidR="00786FAF" w:rsidRPr="00801CF6" w:rsidRDefault="005C48C0" w:rsidP="00786FAF">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w:t>
      </w:r>
      <w:r w:rsidR="00786FAF" w:rsidRPr="00801CF6">
        <w:rPr>
          <w:rFonts w:ascii="Times New Roman" w:eastAsia="Times New Roman" w:hAnsi="Times New Roman" w:cs="Times New Roman"/>
          <w:b/>
          <w:sz w:val="24"/>
          <w:szCs w:val="24"/>
        </w:rPr>
        <w:t xml:space="preserve"> </w:t>
      </w:r>
      <w:r w:rsidR="00F75F33">
        <w:rPr>
          <w:rFonts w:ascii="Times New Roman" w:eastAsia="Times New Roman" w:hAnsi="Times New Roman" w:cs="Times New Roman"/>
          <w:b/>
          <w:sz w:val="24"/>
          <w:szCs w:val="24"/>
        </w:rPr>
        <w:t>i</w:t>
      </w:r>
      <w:r w:rsidR="00786FAF" w:rsidRPr="00801CF6">
        <w:rPr>
          <w:rFonts w:ascii="Times New Roman" w:eastAsia="Times New Roman" w:hAnsi="Times New Roman" w:cs="Times New Roman"/>
          <w:b/>
          <w:sz w:val="24"/>
          <w:szCs w:val="24"/>
        </w:rPr>
        <w:t>nstructions</w:t>
      </w:r>
      <w:r>
        <w:rPr>
          <w:rFonts w:ascii="Times New Roman" w:eastAsia="Times New Roman" w:hAnsi="Times New Roman" w:cs="Times New Roman"/>
          <w:b/>
          <w:sz w:val="24"/>
          <w:szCs w:val="24"/>
        </w:rPr>
        <w:t xml:space="preserve"> below are in addition to the instructions </w:t>
      </w:r>
      <w:r w:rsidR="00DA6958">
        <w:rPr>
          <w:rFonts w:ascii="Times New Roman" w:eastAsia="Times New Roman" w:hAnsi="Times New Roman" w:cs="Times New Roman"/>
          <w:b/>
          <w:sz w:val="24"/>
          <w:szCs w:val="24"/>
        </w:rPr>
        <w:t xml:space="preserve">in tabs within </w:t>
      </w:r>
      <w:r w:rsidR="00F75F33">
        <w:rPr>
          <w:rFonts w:ascii="Times New Roman" w:eastAsia="Times New Roman" w:hAnsi="Times New Roman" w:cs="Times New Roman"/>
          <w:b/>
          <w:sz w:val="24"/>
          <w:szCs w:val="24"/>
        </w:rPr>
        <w:t>each</w:t>
      </w:r>
      <w:r w:rsidR="00DA6958">
        <w:rPr>
          <w:rFonts w:ascii="Times New Roman" w:eastAsia="Times New Roman" w:hAnsi="Times New Roman" w:cs="Times New Roman"/>
          <w:b/>
          <w:sz w:val="24"/>
          <w:szCs w:val="24"/>
        </w:rPr>
        <w:t xml:space="preserve"> data supplement</w:t>
      </w:r>
      <w:r w:rsidR="0002013D">
        <w:rPr>
          <w:rFonts w:ascii="Times New Roman" w:eastAsia="Times New Roman" w:hAnsi="Times New Roman" w:cs="Times New Roman"/>
          <w:b/>
          <w:sz w:val="24"/>
          <w:szCs w:val="24"/>
        </w:rPr>
        <w:t xml:space="preserve"> file</w:t>
      </w:r>
      <w:r w:rsidR="00DA6958">
        <w:rPr>
          <w:rFonts w:ascii="Times New Roman" w:eastAsia="Times New Roman" w:hAnsi="Times New Roman" w:cs="Times New Roman"/>
          <w:b/>
          <w:sz w:val="24"/>
          <w:szCs w:val="24"/>
        </w:rPr>
        <w:t xml:space="preserve">. </w:t>
      </w:r>
    </w:p>
    <w:p w14:paraId="715623A9" w14:textId="2368DCD1" w:rsidR="00786FAF" w:rsidRPr="00801CF6" w:rsidRDefault="009D237C" w:rsidP="00786FAF">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Although </w:t>
      </w:r>
      <w:r w:rsidR="00786FAF" w:rsidRPr="00801CF6">
        <w:rPr>
          <w:rFonts w:ascii="Times New Roman" w:eastAsia="Times New Roman" w:hAnsi="Times New Roman" w:cs="Times New Roman"/>
          <w:b/>
          <w:sz w:val="24"/>
          <w:szCs w:val="24"/>
        </w:rPr>
        <w:t xml:space="preserve">the </w:t>
      </w:r>
      <w:r w:rsidR="003670A7">
        <w:rPr>
          <w:rFonts w:ascii="Times New Roman" w:eastAsia="Times New Roman" w:hAnsi="Times New Roman" w:cs="Times New Roman"/>
          <w:b/>
          <w:sz w:val="24"/>
          <w:szCs w:val="24"/>
        </w:rPr>
        <w:t>d</w:t>
      </w:r>
      <w:r w:rsidR="00786FAF" w:rsidRPr="00801CF6">
        <w:rPr>
          <w:rFonts w:ascii="Times New Roman" w:eastAsia="Times New Roman" w:hAnsi="Times New Roman" w:cs="Times New Roman"/>
          <w:b/>
          <w:sz w:val="24"/>
          <w:szCs w:val="24"/>
        </w:rPr>
        <w:t xml:space="preserve">ata </w:t>
      </w:r>
      <w:r w:rsidR="003670A7">
        <w:rPr>
          <w:rFonts w:ascii="Times New Roman" w:eastAsia="Times New Roman" w:hAnsi="Times New Roman" w:cs="Times New Roman"/>
          <w:b/>
          <w:sz w:val="24"/>
          <w:szCs w:val="24"/>
        </w:rPr>
        <w:t>s</w:t>
      </w:r>
      <w:r w:rsidR="00786FAF" w:rsidRPr="00801CF6">
        <w:rPr>
          <w:rFonts w:ascii="Times New Roman" w:eastAsia="Times New Roman" w:hAnsi="Times New Roman" w:cs="Times New Roman"/>
          <w:b/>
          <w:sz w:val="24"/>
          <w:szCs w:val="24"/>
        </w:rPr>
        <w:t xml:space="preserve">upplements </w:t>
      </w:r>
      <w:r w:rsidR="00F75F33">
        <w:rPr>
          <w:rFonts w:ascii="Times New Roman" w:eastAsia="Times New Roman" w:hAnsi="Times New Roman" w:cs="Times New Roman"/>
          <w:b/>
          <w:sz w:val="24"/>
          <w:szCs w:val="24"/>
        </w:rPr>
        <w:t>were</w:t>
      </w:r>
      <w:r w:rsidR="00786FAF" w:rsidRPr="00801CF6">
        <w:rPr>
          <w:rFonts w:ascii="Times New Roman" w:eastAsia="Times New Roman" w:hAnsi="Times New Roman" w:cs="Times New Roman"/>
          <w:b/>
          <w:sz w:val="24"/>
          <w:szCs w:val="24"/>
        </w:rPr>
        <w:t xml:space="preserve"> primarily designed to support the in-operation analysis for a specific NQTL, some of the data points are relevant to multiple NQTLs, and the MIA may request an explanation for disparate results for the same </w:t>
      </w:r>
      <w:r w:rsidR="00F75F33">
        <w:rPr>
          <w:rFonts w:ascii="Times New Roman" w:eastAsia="Times New Roman" w:hAnsi="Times New Roman" w:cs="Times New Roman"/>
          <w:b/>
          <w:sz w:val="24"/>
          <w:szCs w:val="24"/>
        </w:rPr>
        <w:t>d</w:t>
      </w:r>
      <w:r w:rsidR="00786FAF" w:rsidRPr="00801CF6">
        <w:rPr>
          <w:rFonts w:ascii="Times New Roman" w:eastAsia="Times New Roman" w:hAnsi="Times New Roman" w:cs="Times New Roman"/>
          <w:b/>
          <w:sz w:val="24"/>
          <w:szCs w:val="24"/>
        </w:rPr>
        <w:t xml:space="preserve">ata </w:t>
      </w:r>
      <w:r w:rsidR="00F75F33">
        <w:rPr>
          <w:rFonts w:ascii="Times New Roman" w:eastAsia="Times New Roman" w:hAnsi="Times New Roman" w:cs="Times New Roman"/>
          <w:b/>
          <w:sz w:val="24"/>
          <w:szCs w:val="24"/>
        </w:rPr>
        <w:t>s</w:t>
      </w:r>
      <w:r w:rsidR="00786FAF" w:rsidRPr="00801CF6">
        <w:rPr>
          <w:rFonts w:ascii="Times New Roman" w:eastAsia="Times New Roman" w:hAnsi="Times New Roman" w:cs="Times New Roman"/>
          <w:b/>
          <w:sz w:val="24"/>
          <w:szCs w:val="24"/>
        </w:rPr>
        <w:t xml:space="preserve">upplement under more than one NQTL.  </w:t>
      </w:r>
    </w:p>
    <w:p w14:paraId="10A2F0C0" w14:textId="6CF4C55A" w:rsidR="00786FAF" w:rsidRDefault="00786FAF" w:rsidP="00786FAF">
      <w:pPr>
        <w:ind w:left="0" w:firstLine="0"/>
        <w:rPr>
          <w:rFonts w:ascii="Times New Roman" w:eastAsia="Times New Roman" w:hAnsi="Times New Roman" w:cs="Times New Roman"/>
          <w:b/>
          <w:sz w:val="24"/>
          <w:szCs w:val="24"/>
        </w:rPr>
      </w:pPr>
      <w:r w:rsidRPr="00801CF6">
        <w:rPr>
          <w:rFonts w:ascii="Times New Roman" w:eastAsia="Times New Roman" w:hAnsi="Times New Roman" w:cs="Times New Roman"/>
          <w:b/>
          <w:sz w:val="24"/>
          <w:szCs w:val="24"/>
        </w:rPr>
        <w:t>A separate data supplement must be submitted for each product</w:t>
      </w:r>
      <w:r w:rsidR="009C4821">
        <w:rPr>
          <w:rFonts w:ascii="Times New Roman" w:eastAsia="Times New Roman" w:hAnsi="Times New Roman" w:cs="Times New Roman"/>
          <w:b/>
          <w:sz w:val="24"/>
          <w:szCs w:val="24"/>
        </w:rPr>
        <w:t xml:space="preserve"> </w:t>
      </w:r>
      <w:r w:rsidRPr="00801CF6">
        <w:rPr>
          <w:rFonts w:ascii="Times New Roman" w:eastAsia="Times New Roman" w:hAnsi="Times New Roman" w:cs="Times New Roman"/>
          <w:b/>
          <w:sz w:val="24"/>
          <w:szCs w:val="24"/>
        </w:rPr>
        <w:t xml:space="preserve">except that an additional separate data supplement </w:t>
      </w:r>
      <w:r w:rsidR="00DA6958">
        <w:rPr>
          <w:rFonts w:ascii="Times New Roman" w:eastAsia="Times New Roman" w:hAnsi="Times New Roman" w:cs="Times New Roman"/>
          <w:b/>
          <w:sz w:val="24"/>
          <w:szCs w:val="24"/>
        </w:rPr>
        <w:t>must</w:t>
      </w:r>
      <w:r w:rsidRPr="00801CF6">
        <w:rPr>
          <w:rFonts w:ascii="Times New Roman" w:eastAsia="Times New Roman" w:hAnsi="Times New Roman" w:cs="Times New Roman"/>
          <w:b/>
          <w:sz w:val="24"/>
          <w:szCs w:val="24"/>
        </w:rPr>
        <w:t xml:space="preserve"> be submitted for any plan within the product for which a separate NQTL report is required to be submitted under § 15-144(c)(4). A separate NQTL report is required for any plan within the product where the processes, strategies, evidentiary standards, or other factors used in designing and applying the reported NQTLs to </w:t>
      </w:r>
      <w:r w:rsidR="00DA6958">
        <w:rPr>
          <w:rFonts w:ascii="Times New Roman" w:eastAsia="Times New Roman" w:hAnsi="Times New Roman" w:cs="Times New Roman"/>
          <w:b/>
          <w:sz w:val="24"/>
          <w:szCs w:val="24"/>
        </w:rPr>
        <w:t>MH</w:t>
      </w:r>
      <w:r w:rsidRPr="00801CF6">
        <w:rPr>
          <w:rFonts w:ascii="Times New Roman" w:eastAsia="Times New Roman" w:hAnsi="Times New Roman" w:cs="Times New Roman"/>
          <w:b/>
          <w:sz w:val="24"/>
          <w:szCs w:val="24"/>
        </w:rPr>
        <w:t xml:space="preserve"> </w:t>
      </w:r>
      <w:r w:rsidRPr="00801CF6">
        <w:rPr>
          <w:rFonts w:ascii="Times New Roman" w:eastAsia="Times New Roman" w:hAnsi="Times New Roman" w:cs="Times New Roman"/>
          <w:b/>
          <w:sz w:val="24"/>
          <w:szCs w:val="24"/>
        </w:rPr>
        <w:lastRenderedPageBreak/>
        <w:t xml:space="preserve">benefits, </w:t>
      </w:r>
      <w:r w:rsidR="00DA6958">
        <w:rPr>
          <w:rFonts w:ascii="Times New Roman" w:eastAsia="Times New Roman" w:hAnsi="Times New Roman" w:cs="Times New Roman"/>
          <w:b/>
          <w:sz w:val="24"/>
          <w:szCs w:val="24"/>
        </w:rPr>
        <w:t>SUD</w:t>
      </w:r>
      <w:r w:rsidRPr="00801CF6">
        <w:rPr>
          <w:rFonts w:ascii="Times New Roman" w:eastAsia="Times New Roman" w:hAnsi="Times New Roman" w:cs="Times New Roman"/>
          <w:b/>
          <w:sz w:val="24"/>
          <w:szCs w:val="24"/>
        </w:rPr>
        <w:t xml:space="preserve"> benefits, or medical/surgical benefits are different, as written or in operation, from the other plans within the product</w:t>
      </w:r>
      <w:r w:rsidR="00444EA7">
        <w:rPr>
          <w:rFonts w:ascii="Times New Roman" w:eastAsia="Times New Roman" w:hAnsi="Times New Roman" w:cs="Times New Roman"/>
          <w:b/>
          <w:sz w:val="24"/>
          <w:szCs w:val="24"/>
        </w:rPr>
        <w:t xml:space="preserve"> or plan</w:t>
      </w:r>
      <w:r w:rsidRPr="00801CF6">
        <w:rPr>
          <w:rFonts w:ascii="Times New Roman" w:eastAsia="Times New Roman" w:hAnsi="Times New Roman" w:cs="Times New Roman"/>
          <w:b/>
          <w:sz w:val="24"/>
          <w:szCs w:val="24"/>
        </w:rPr>
        <w:t>. The data reported on each data supplement must be specific to the product or plan</w:t>
      </w:r>
      <w:r w:rsidR="00514DDD">
        <w:rPr>
          <w:rFonts w:ascii="Times New Roman" w:eastAsia="Times New Roman" w:hAnsi="Times New Roman" w:cs="Times New Roman"/>
          <w:b/>
          <w:sz w:val="24"/>
          <w:szCs w:val="24"/>
        </w:rPr>
        <w:t>, as applicable,</w:t>
      </w:r>
      <w:r w:rsidRPr="00801CF6">
        <w:rPr>
          <w:rFonts w:ascii="Times New Roman" w:eastAsia="Times New Roman" w:hAnsi="Times New Roman" w:cs="Times New Roman"/>
          <w:b/>
          <w:sz w:val="24"/>
          <w:szCs w:val="24"/>
        </w:rPr>
        <w:t xml:space="preserve"> for the corresponding NQTL report. </w:t>
      </w:r>
    </w:p>
    <w:p w14:paraId="106E6FD8" w14:textId="77777777" w:rsidR="00EC2378" w:rsidRDefault="00EC2378" w:rsidP="00786FAF">
      <w:pPr>
        <w:ind w:left="0" w:firstLine="0"/>
        <w:rPr>
          <w:rFonts w:ascii="Times New Roman" w:eastAsia="Times New Roman" w:hAnsi="Times New Roman" w:cs="Times New Roman"/>
          <w:b/>
          <w:sz w:val="24"/>
          <w:szCs w:val="24"/>
        </w:rPr>
      </w:pPr>
    </w:p>
    <w:p w14:paraId="64990D3A" w14:textId="5D71D4CC" w:rsidR="00EC69DA" w:rsidRDefault="00EC69DA" w:rsidP="004F0CD8">
      <w:pPr>
        <w:pStyle w:val="Heading1"/>
        <w:jc w:val="center"/>
      </w:pPr>
      <w:bookmarkStart w:id="47" w:name="_Toc229123353"/>
      <w:bookmarkStart w:id="48" w:name="_Toc229123631"/>
      <w:r>
        <w:t>INSTRUCTIONS FOR SPECIFIC NQTLs</w:t>
      </w:r>
      <w:bookmarkEnd w:id="47"/>
      <w:bookmarkEnd w:id="48"/>
    </w:p>
    <w:p w14:paraId="72FD79C3" w14:textId="39BAE4FE" w:rsidR="00453762" w:rsidRPr="00453762" w:rsidRDefault="00453762" w:rsidP="00C51A48">
      <w:pPr>
        <w:ind w:left="0" w:firstLine="0"/>
        <w:rPr>
          <w:rFonts w:ascii="Times New Roman" w:hAnsi="Times New Roman" w:cs="Times New Roman"/>
          <w:sz w:val="24"/>
          <w:szCs w:val="24"/>
        </w:rPr>
      </w:pPr>
      <w:r w:rsidRPr="00453762">
        <w:rPr>
          <w:rFonts w:ascii="Times New Roman" w:hAnsi="Times New Roman" w:cs="Times New Roman"/>
          <w:sz w:val="24"/>
          <w:szCs w:val="24"/>
        </w:rPr>
        <w:t>The instructions in this section are specific to the NQTLs chosen by the Commissioner for the 2026 reporting period. These instructions are in addition to the general instructions</w:t>
      </w:r>
      <w:r>
        <w:rPr>
          <w:rFonts w:ascii="Times New Roman" w:hAnsi="Times New Roman" w:cs="Times New Roman"/>
          <w:sz w:val="24"/>
          <w:szCs w:val="24"/>
        </w:rPr>
        <w:t xml:space="preserve"> </w:t>
      </w:r>
      <w:r w:rsidRPr="00453762">
        <w:rPr>
          <w:rFonts w:ascii="Times New Roman" w:hAnsi="Times New Roman" w:cs="Times New Roman"/>
          <w:sz w:val="24"/>
          <w:szCs w:val="24"/>
        </w:rPr>
        <w:t>provided above</w:t>
      </w:r>
      <w:r>
        <w:rPr>
          <w:rFonts w:ascii="Times New Roman" w:hAnsi="Times New Roman" w:cs="Times New Roman"/>
          <w:sz w:val="24"/>
          <w:szCs w:val="24"/>
        </w:rPr>
        <w:t xml:space="preserve"> for a comparative analysis</w:t>
      </w:r>
      <w:r w:rsidR="00526058">
        <w:rPr>
          <w:rFonts w:ascii="Times New Roman" w:hAnsi="Times New Roman" w:cs="Times New Roman"/>
          <w:sz w:val="24"/>
          <w:szCs w:val="24"/>
        </w:rPr>
        <w:t xml:space="preserve"> (see above)</w:t>
      </w:r>
      <w:r w:rsidRPr="00453762">
        <w:rPr>
          <w:rFonts w:ascii="Times New Roman" w:hAnsi="Times New Roman" w:cs="Times New Roman"/>
          <w:sz w:val="24"/>
          <w:szCs w:val="24"/>
        </w:rPr>
        <w:t xml:space="preserve"> and the instructions in the NQTL Analysis Report Template.  </w:t>
      </w:r>
      <w:r>
        <w:rPr>
          <w:rFonts w:ascii="Times New Roman" w:hAnsi="Times New Roman" w:cs="Times New Roman"/>
          <w:sz w:val="24"/>
          <w:szCs w:val="24"/>
        </w:rPr>
        <w:t xml:space="preserve">Each NQTL is addressed separately below. </w:t>
      </w:r>
    </w:p>
    <w:p w14:paraId="040CC1A1" w14:textId="48EED9A1" w:rsidR="007E0A83" w:rsidRPr="00EC69DA" w:rsidRDefault="007E0A83" w:rsidP="00C51A48">
      <w:pPr>
        <w:pBdr>
          <w:top w:val="nil"/>
          <w:left w:val="nil"/>
          <w:bottom w:val="nil"/>
          <w:right w:val="nil"/>
          <w:between w:val="nil"/>
        </w:pBdr>
        <w:spacing w:after="0" w:line="240" w:lineRule="auto"/>
        <w:ind w:left="360" w:right="-1260"/>
        <w:jc w:val="left"/>
        <w:rPr>
          <w:rFonts w:ascii="Times New Roman" w:eastAsia="Times New Roman" w:hAnsi="Times New Roman" w:cs="Times New Roman"/>
          <w:b/>
          <w:bCs/>
          <w:color w:val="000000"/>
          <w:sz w:val="24"/>
          <w:szCs w:val="24"/>
          <w:u w:val="single"/>
        </w:rPr>
      </w:pPr>
      <w:r w:rsidRPr="00EC69DA">
        <w:rPr>
          <w:rFonts w:ascii="Times New Roman" w:eastAsia="Times New Roman" w:hAnsi="Times New Roman" w:cs="Times New Roman"/>
          <w:b/>
          <w:bCs/>
          <w:color w:val="000000"/>
          <w:sz w:val="24"/>
          <w:szCs w:val="24"/>
          <w:u w:val="single"/>
        </w:rPr>
        <w:t>NQTL 1</w:t>
      </w:r>
      <w:r w:rsidR="00EC69DA" w:rsidRPr="00EC69DA">
        <w:rPr>
          <w:rFonts w:ascii="Times New Roman" w:eastAsia="Times New Roman" w:hAnsi="Times New Roman" w:cs="Times New Roman"/>
          <w:b/>
          <w:bCs/>
          <w:color w:val="000000"/>
          <w:sz w:val="24"/>
          <w:szCs w:val="24"/>
          <w:u w:val="single"/>
        </w:rPr>
        <w:t>:</w:t>
      </w:r>
      <w:r w:rsidRPr="00EC69DA">
        <w:rPr>
          <w:rFonts w:ascii="Times New Roman" w:eastAsia="Times New Roman" w:hAnsi="Times New Roman" w:cs="Times New Roman"/>
          <w:b/>
          <w:bCs/>
          <w:color w:val="000000"/>
          <w:sz w:val="24"/>
          <w:szCs w:val="24"/>
          <w:u w:val="single"/>
        </w:rPr>
        <w:t xml:space="preserve"> </w:t>
      </w:r>
      <w:r w:rsidR="009D5F96" w:rsidRPr="00EC69DA">
        <w:rPr>
          <w:rFonts w:ascii="Times New Roman" w:eastAsia="Times New Roman" w:hAnsi="Times New Roman" w:cs="Times New Roman"/>
          <w:b/>
          <w:color w:val="000000"/>
          <w:sz w:val="24"/>
          <w:szCs w:val="24"/>
          <w:u w:val="single"/>
        </w:rPr>
        <w:t>I</w:t>
      </w:r>
      <w:r w:rsidR="00794D90" w:rsidRPr="00EC69DA">
        <w:rPr>
          <w:rFonts w:ascii="Times New Roman" w:eastAsia="Times New Roman" w:hAnsi="Times New Roman" w:cs="Times New Roman"/>
          <w:b/>
          <w:color w:val="000000"/>
          <w:sz w:val="24"/>
          <w:szCs w:val="24"/>
          <w:u w:val="single"/>
        </w:rPr>
        <w:t>n-</w:t>
      </w:r>
      <w:r w:rsidR="009D5F96" w:rsidRPr="00EC69DA">
        <w:rPr>
          <w:rFonts w:ascii="Times New Roman" w:eastAsia="Times New Roman" w:hAnsi="Times New Roman" w:cs="Times New Roman"/>
          <w:b/>
          <w:color w:val="000000"/>
          <w:sz w:val="24"/>
          <w:szCs w:val="24"/>
          <w:u w:val="single"/>
        </w:rPr>
        <w:t>N</w:t>
      </w:r>
      <w:r w:rsidR="00794D90" w:rsidRPr="00EC69DA">
        <w:rPr>
          <w:rFonts w:ascii="Times New Roman" w:eastAsia="Times New Roman" w:hAnsi="Times New Roman" w:cs="Times New Roman"/>
          <w:b/>
          <w:color w:val="000000"/>
          <w:sz w:val="24"/>
          <w:szCs w:val="24"/>
          <w:u w:val="single"/>
        </w:rPr>
        <w:t>etwork</w:t>
      </w:r>
      <w:r w:rsidR="004D098A" w:rsidRPr="00EC69DA">
        <w:rPr>
          <w:rFonts w:ascii="Times New Roman" w:eastAsia="Times New Roman" w:hAnsi="Times New Roman" w:cs="Times New Roman"/>
          <w:b/>
          <w:color w:val="000000"/>
          <w:sz w:val="24"/>
          <w:szCs w:val="24"/>
          <w:u w:val="single"/>
        </w:rPr>
        <w:t xml:space="preserve"> </w:t>
      </w:r>
      <w:r w:rsidR="00B43626" w:rsidRPr="00EC69DA">
        <w:rPr>
          <w:rFonts w:ascii="Times New Roman" w:eastAsia="Times New Roman" w:hAnsi="Times New Roman" w:cs="Times New Roman"/>
          <w:b/>
          <w:color w:val="000000"/>
          <w:sz w:val="24"/>
          <w:szCs w:val="24"/>
          <w:u w:val="single"/>
        </w:rPr>
        <w:t xml:space="preserve">Provider (Including Facility) </w:t>
      </w:r>
      <w:r w:rsidR="009D5F96" w:rsidRPr="00EC69DA">
        <w:rPr>
          <w:rFonts w:ascii="Times New Roman" w:eastAsia="Times New Roman" w:hAnsi="Times New Roman" w:cs="Times New Roman"/>
          <w:b/>
          <w:color w:val="000000"/>
          <w:sz w:val="24"/>
          <w:szCs w:val="24"/>
          <w:u w:val="single"/>
        </w:rPr>
        <w:t>Reimbursement</w:t>
      </w:r>
      <w:r w:rsidR="004D098A" w:rsidRPr="00EC69DA">
        <w:rPr>
          <w:rFonts w:ascii="Times New Roman" w:eastAsia="Times New Roman" w:hAnsi="Times New Roman" w:cs="Times New Roman"/>
          <w:b/>
          <w:color w:val="000000"/>
          <w:sz w:val="24"/>
          <w:szCs w:val="24"/>
          <w:u w:val="single"/>
        </w:rPr>
        <w:t xml:space="preserve"> and Negotiations</w:t>
      </w:r>
      <w:r w:rsidR="009D5F96" w:rsidRPr="00EC69DA">
        <w:rPr>
          <w:rFonts w:ascii="Times New Roman" w:eastAsia="Times New Roman" w:hAnsi="Times New Roman" w:cs="Times New Roman"/>
          <w:b/>
          <w:bCs/>
          <w:color w:val="000000"/>
          <w:sz w:val="24"/>
          <w:szCs w:val="24"/>
          <w:u w:val="single"/>
        </w:rPr>
        <w:t xml:space="preserve"> </w:t>
      </w:r>
    </w:p>
    <w:p w14:paraId="16089DE7" w14:textId="28C4D51C" w:rsidR="00F930BB" w:rsidRPr="00801CF6" w:rsidRDefault="00453762" w:rsidP="00C51A48">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299D76B" w14:textId="2ADA3006" w:rsidR="00A54137" w:rsidRPr="00801CF6" w:rsidRDefault="001734D2" w:rsidP="00C51A48">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The comparative analysis for the </w:t>
      </w:r>
      <w:r w:rsidR="00F930BB" w:rsidRPr="00801CF6">
        <w:rPr>
          <w:rFonts w:ascii="Times New Roman" w:eastAsia="Times New Roman" w:hAnsi="Times New Roman" w:cs="Times New Roman"/>
          <w:color w:val="000000"/>
          <w:sz w:val="24"/>
          <w:szCs w:val="24"/>
        </w:rPr>
        <w:t>I</w:t>
      </w:r>
      <w:r w:rsidR="00794D90" w:rsidRPr="00801CF6">
        <w:rPr>
          <w:rFonts w:ascii="Times New Roman" w:eastAsia="Times New Roman" w:hAnsi="Times New Roman" w:cs="Times New Roman"/>
          <w:color w:val="000000"/>
          <w:sz w:val="24"/>
          <w:szCs w:val="24"/>
        </w:rPr>
        <w:t xml:space="preserve">n-Network </w:t>
      </w:r>
      <w:r w:rsidRPr="00801CF6">
        <w:rPr>
          <w:rFonts w:ascii="Times New Roman" w:eastAsia="Times New Roman" w:hAnsi="Times New Roman" w:cs="Times New Roman"/>
          <w:color w:val="000000"/>
          <w:sz w:val="24"/>
          <w:szCs w:val="24"/>
        </w:rPr>
        <w:t>Provider (</w:t>
      </w:r>
      <w:r w:rsidR="00F930BB" w:rsidRPr="00801CF6">
        <w:rPr>
          <w:rFonts w:ascii="Times New Roman" w:eastAsia="Times New Roman" w:hAnsi="Times New Roman" w:cs="Times New Roman"/>
          <w:color w:val="000000"/>
          <w:sz w:val="24"/>
          <w:szCs w:val="24"/>
        </w:rPr>
        <w:t xml:space="preserve">Including </w:t>
      </w:r>
      <w:r w:rsidRPr="00801CF6">
        <w:rPr>
          <w:rFonts w:ascii="Times New Roman" w:eastAsia="Times New Roman" w:hAnsi="Times New Roman" w:cs="Times New Roman"/>
          <w:color w:val="000000"/>
          <w:sz w:val="24"/>
          <w:szCs w:val="24"/>
        </w:rPr>
        <w:t>Facility)</w:t>
      </w:r>
      <w:r w:rsidR="00025884">
        <w:rPr>
          <w:rFonts w:ascii="Times New Roman" w:eastAsia="Times New Roman" w:hAnsi="Times New Roman" w:cs="Times New Roman"/>
          <w:color w:val="000000"/>
          <w:sz w:val="24"/>
          <w:szCs w:val="24"/>
        </w:rPr>
        <w:t xml:space="preserve"> </w:t>
      </w:r>
      <w:r w:rsidRPr="00801CF6">
        <w:rPr>
          <w:rFonts w:ascii="Times New Roman" w:eastAsia="Times New Roman" w:hAnsi="Times New Roman" w:cs="Times New Roman"/>
          <w:color w:val="000000"/>
          <w:sz w:val="24"/>
          <w:szCs w:val="24"/>
        </w:rPr>
        <w:t xml:space="preserve">Reimbursement </w:t>
      </w:r>
      <w:r w:rsidR="00EC69DA">
        <w:rPr>
          <w:rFonts w:ascii="Times New Roman" w:eastAsia="Times New Roman" w:hAnsi="Times New Roman" w:cs="Times New Roman"/>
          <w:color w:val="000000"/>
          <w:sz w:val="24"/>
          <w:szCs w:val="24"/>
        </w:rPr>
        <w:t xml:space="preserve">and Negotiations </w:t>
      </w:r>
      <w:r w:rsidRPr="00801CF6">
        <w:rPr>
          <w:rFonts w:ascii="Times New Roman" w:eastAsia="Times New Roman" w:hAnsi="Times New Roman" w:cs="Times New Roman"/>
          <w:color w:val="000000"/>
          <w:sz w:val="24"/>
          <w:szCs w:val="24"/>
        </w:rPr>
        <w:t xml:space="preserve">NQTL must address the </w:t>
      </w:r>
      <w:r w:rsidR="00641D14" w:rsidRPr="00801CF6">
        <w:rPr>
          <w:rFonts w:ascii="Times New Roman" w:eastAsia="Times New Roman" w:hAnsi="Times New Roman" w:cs="Times New Roman"/>
          <w:color w:val="000000"/>
          <w:sz w:val="24"/>
          <w:szCs w:val="24"/>
        </w:rPr>
        <w:t xml:space="preserve">criteria and </w:t>
      </w:r>
      <w:r w:rsidRPr="00801CF6">
        <w:rPr>
          <w:rFonts w:ascii="Times New Roman" w:eastAsia="Times New Roman" w:hAnsi="Times New Roman" w:cs="Times New Roman"/>
          <w:color w:val="000000"/>
          <w:sz w:val="24"/>
          <w:szCs w:val="24"/>
        </w:rPr>
        <w:t>process</w:t>
      </w:r>
      <w:r w:rsidR="00641D14" w:rsidRPr="00801CF6">
        <w:rPr>
          <w:rFonts w:ascii="Times New Roman" w:eastAsia="Times New Roman" w:hAnsi="Times New Roman" w:cs="Times New Roman"/>
          <w:color w:val="000000"/>
          <w:sz w:val="24"/>
          <w:szCs w:val="24"/>
        </w:rPr>
        <w:t>es</w:t>
      </w:r>
      <w:r w:rsidRPr="00801CF6">
        <w:rPr>
          <w:rFonts w:ascii="Times New Roman" w:eastAsia="Times New Roman" w:hAnsi="Times New Roman" w:cs="Times New Roman"/>
          <w:color w:val="000000"/>
          <w:sz w:val="24"/>
          <w:szCs w:val="24"/>
        </w:rPr>
        <w:t xml:space="preserve"> for</w:t>
      </w:r>
      <w:r w:rsidR="00DA13C0" w:rsidRPr="00801CF6">
        <w:rPr>
          <w:rFonts w:ascii="Times New Roman" w:eastAsia="Times New Roman" w:hAnsi="Times New Roman" w:cs="Times New Roman"/>
          <w:color w:val="000000"/>
          <w:sz w:val="24"/>
          <w:szCs w:val="24"/>
        </w:rPr>
        <w:t xml:space="preserve"> t</w:t>
      </w:r>
      <w:r w:rsidR="000350E6" w:rsidRPr="00801CF6">
        <w:rPr>
          <w:rFonts w:ascii="Times New Roman" w:eastAsia="Times New Roman" w:hAnsi="Times New Roman" w:cs="Times New Roman"/>
          <w:color w:val="000000"/>
          <w:sz w:val="24"/>
          <w:szCs w:val="24"/>
        </w:rPr>
        <w:t xml:space="preserve">he negotiations and determination </w:t>
      </w:r>
      <w:r w:rsidR="00422018" w:rsidRPr="00801CF6">
        <w:rPr>
          <w:rFonts w:ascii="Times New Roman" w:eastAsia="Times New Roman" w:hAnsi="Times New Roman" w:cs="Times New Roman"/>
          <w:color w:val="000000"/>
          <w:sz w:val="24"/>
          <w:szCs w:val="24"/>
        </w:rPr>
        <w:t>of</w:t>
      </w:r>
      <w:r w:rsidR="000350E6" w:rsidRPr="00801CF6">
        <w:rPr>
          <w:rFonts w:ascii="Times New Roman" w:eastAsia="Times New Roman" w:hAnsi="Times New Roman" w:cs="Times New Roman"/>
          <w:color w:val="000000"/>
          <w:sz w:val="24"/>
          <w:szCs w:val="24"/>
        </w:rPr>
        <w:t xml:space="preserve"> </w:t>
      </w:r>
      <w:r w:rsidR="00AC49FF">
        <w:rPr>
          <w:rFonts w:ascii="Times New Roman" w:eastAsia="Times New Roman" w:hAnsi="Times New Roman" w:cs="Times New Roman"/>
          <w:color w:val="000000"/>
          <w:sz w:val="24"/>
          <w:szCs w:val="24"/>
        </w:rPr>
        <w:t>r</w:t>
      </w:r>
      <w:r w:rsidR="002F5D71">
        <w:rPr>
          <w:rFonts w:ascii="Times New Roman" w:eastAsia="Times New Roman" w:hAnsi="Times New Roman" w:cs="Times New Roman"/>
          <w:color w:val="000000"/>
          <w:sz w:val="24"/>
          <w:szCs w:val="24"/>
        </w:rPr>
        <w:t xml:space="preserve">eimbursement </w:t>
      </w:r>
      <w:r w:rsidR="00AC49FF">
        <w:rPr>
          <w:rFonts w:ascii="Times New Roman" w:eastAsia="Times New Roman" w:hAnsi="Times New Roman" w:cs="Times New Roman"/>
          <w:color w:val="000000"/>
          <w:sz w:val="24"/>
          <w:szCs w:val="24"/>
        </w:rPr>
        <w:t>r</w:t>
      </w:r>
      <w:r w:rsidRPr="00801CF6">
        <w:rPr>
          <w:rFonts w:ascii="Times New Roman" w:eastAsia="Times New Roman" w:hAnsi="Times New Roman" w:cs="Times New Roman"/>
          <w:color w:val="000000"/>
          <w:sz w:val="24"/>
          <w:szCs w:val="24"/>
        </w:rPr>
        <w:t xml:space="preserve">ates for </w:t>
      </w:r>
      <w:r w:rsidR="00940454" w:rsidRPr="00801CF6">
        <w:rPr>
          <w:rFonts w:ascii="Times New Roman" w:eastAsia="Times New Roman" w:hAnsi="Times New Roman" w:cs="Times New Roman"/>
          <w:color w:val="000000"/>
          <w:sz w:val="24"/>
          <w:szCs w:val="24"/>
        </w:rPr>
        <w:t xml:space="preserve">all </w:t>
      </w:r>
      <w:r w:rsidRPr="00801CF6">
        <w:rPr>
          <w:rFonts w:ascii="Times New Roman" w:eastAsia="Times New Roman" w:hAnsi="Times New Roman" w:cs="Times New Roman"/>
          <w:color w:val="000000"/>
          <w:sz w:val="24"/>
          <w:szCs w:val="24"/>
        </w:rPr>
        <w:t xml:space="preserve">in-network </w:t>
      </w:r>
      <w:r w:rsidR="00326FB4" w:rsidRPr="00801CF6">
        <w:rPr>
          <w:rFonts w:ascii="Times New Roman" w:eastAsia="Times New Roman" w:hAnsi="Times New Roman" w:cs="Times New Roman"/>
          <w:color w:val="000000"/>
          <w:sz w:val="24"/>
          <w:szCs w:val="24"/>
        </w:rPr>
        <w:t>benefit classifications and sub-classifications</w:t>
      </w:r>
      <w:r w:rsidR="00444EA7">
        <w:rPr>
          <w:rFonts w:ascii="Times New Roman" w:eastAsia="Times New Roman" w:hAnsi="Times New Roman" w:cs="Times New Roman"/>
          <w:color w:val="000000"/>
          <w:sz w:val="24"/>
          <w:szCs w:val="24"/>
        </w:rPr>
        <w:t xml:space="preserve"> and for</w:t>
      </w:r>
      <w:r w:rsidR="0049037A">
        <w:rPr>
          <w:rFonts w:ascii="Times New Roman" w:eastAsia="Times New Roman" w:hAnsi="Times New Roman" w:cs="Times New Roman"/>
          <w:color w:val="000000"/>
          <w:sz w:val="24"/>
          <w:szCs w:val="24"/>
        </w:rPr>
        <w:t xml:space="preserve"> all types of providers included in the carrier’s provider panel.</w:t>
      </w:r>
    </w:p>
    <w:p w14:paraId="07FED18E" w14:textId="77777777" w:rsidR="00DA13C0" w:rsidRPr="00801CF6" w:rsidRDefault="00DA13C0" w:rsidP="00C51A48">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p>
    <w:p w14:paraId="58E8855B" w14:textId="03F8E33B" w:rsidR="00DA7C4E" w:rsidRPr="00801CF6" w:rsidRDefault="001734D2" w:rsidP="00C51A48">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A separate analysis must be provided for practitioner reimbursement </w:t>
      </w:r>
      <w:r w:rsidR="00444EA7">
        <w:rPr>
          <w:rFonts w:ascii="Times New Roman" w:eastAsia="Times New Roman" w:hAnsi="Times New Roman" w:cs="Times New Roman"/>
          <w:color w:val="000000"/>
          <w:sz w:val="24"/>
          <w:szCs w:val="24"/>
        </w:rPr>
        <w:t xml:space="preserve">and </w:t>
      </w:r>
      <w:r w:rsidR="00AC49FF">
        <w:rPr>
          <w:rFonts w:ascii="Times New Roman" w:eastAsia="Times New Roman" w:hAnsi="Times New Roman" w:cs="Times New Roman"/>
          <w:color w:val="000000"/>
          <w:sz w:val="24"/>
          <w:szCs w:val="24"/>
        </w:rPr>
        <w:t>f</w:t>
      </w:r>
      <w:r w:rsidRPr="00801CF6">
        <w:rPr>
          <w:rFonts w:ascii="Times New Roman" w:eastAsia="Times New Roman" w:hAnsi="Times New Roman" w:cs="Times New Roman"/>
          <w:color w:val="000000"/>
          <w:sz w:val="24"/>
          <w:szCs w:val="24"/>
        </w:rPr>
        <w:t>acility reimbursement under each app</w:t>
      </w:r>
      <w:r w:rsidR="00444EA7">
        <w:rPr>
          <w:rFonts w:ascii="Times New Roman" w:eastAsia="Times New Roman" w:hAnsi="Times New Roman" w:cs="Times New Roman"/>
          <w:color w:val="000000"/>
          <w:sz w:val="24"/>
          <w:szCs w:val="24"/>
        </w:rPr>
        <w:t xml:space="preserve">licable benefits classification and </w:t>
      </w:r>
      <w:r w:rsidRPr="00801CF6">
        <w:rPr>
          <w:rFonts w:ascii="Times New Roman" w:eastAsia="Times New Roman" w:hAnsi="Times New Roman" w:cs="Times New Roman"/>
          <w:color w:val="000000"/>
          <w:sz w:val="24"/>
          <w:szCs w:val="24"/>
        </w:rPr>
        <w:t xml:space="preserve">sub-classification. </w:t>
      </w:r>
    </w:p>
    <w:p w14:paraId="6D135585" w14:textId="77777777" w:rsidR="00DA7C4E" w:rsidRPr="00801CF6" w:rsidRDefault="00DA7C4E" w:rsidP="00C51A48">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p>
    <w:p w14:paraId="5920A629" w14:textId="56EED7D7" w:rsidR="00DA7C4E" w:rsidRPr="00801CF6" w:rsidRDefault="001734D2" w:rsidP="00C51A48">
      <w:pPr>
        <w:shd w:val="clear" w:color="auto" w:fill="FFFFFF"/>
        <w:spacing w:line="231" w:lineRule="atLeast"/>
        <w:ind w:left="360"/>
        <w:rPr>
          <w:rFonts w:ascii="Times New Roman" w:eastAsia="Times New Roman" w:hAnsi="Times New Roman" w:cs="Times New Roman"/>
          <w:color w:val="222222"/>
          <w:sz w:val="24"/>
          <w:szCs w:val="24"/>
        </w:rPr>
      </w:pPr>
      <w:r w:rsidRPr="00801CF6">
        <w:rPr>
          <w:rFonts w:ascii="Times New Roman" w:eastAsia="Times New Roman" w:hAnsi="Times New Roman" w:cs="Times New Roman"/>
          <w:color w:val="000000"/>
          <w:sz w:val="24"/>
          <w:szCs w:val="24"/>
        </w:rPr>
        <w:t xml:space="preserve"> </w:t>
      </w:r>
      <w:r w:rsidR="00DA7C4E" w:rsidRPr="00801CF6">
        <w:rPr>
          <w:rFonts w:ascii="Times New Roman" w:eastAsia="Times New Roman" w:hAnsi="Times New Roman" w:cs="Times New Roman"/>
          <w:color w:val="000000"/>
          <w:sz w:val="24"/>
          <w:szCs w:val="24"/>
        </w:rPr>
        <w:t xml:space="preserve">     </w:t>
      </w:r>
      <w:r w:rsidR="00DA7C4E" w:rsidRPr="00801CF6">
        <w:rPr>
          <w:rFonts w:ascii="Times New Roman" w:eastAsia="Times New Roman" w:hAnsi="Times New Roman" w:cs="Times New Roman"/>
          <w:color w:val="222222"/>
          <w:sz w:val="24"/>
          <w:szCs w:val="24"/>
        </w:rPr>
        <w:t xml:space="preserve">The comparative analysis </w:t>
      </w:r>
      <w:r w:rsidR="00952820">
        <w:rPr>
          <w:rFonts w:ascii="Times New Roman" w:eastAsia="Times New Roman" w:hAnsi="Times New Roman" w:cs="Times New Roman"/>
          <w:color w:val="222222"/>
          <w:sz w:val="24"/>
          <w:szCs w:val="24"/>
        </w:rPr>
        <w:t>must</w:t>
      </w:r>
      <w:r w:rsidR="00DA7C4E" w:rsidRPr="00801CF6">
        <w:rPr>
          <w:rFonts w:ascii="Times New Roman" w:eastAsia="Times New Roman" w:hAnsi="Times New Roman" w:cs="Times New Roman"/>
          <w:color w:val="222222"/>
          <w:sz w:val="24"/>
          <w:szCs w:val="24"/>
        </w:rPr>
        <w:t xml:space="preserve"> include </w:t>
      </w:r>
      <w:r w:rsidR="00AC49FF">
        <w:rPr>
          <w:rFonts w:ascii="Times New Roman" w:eastAsia="Times New Roman" w:hAnsi="Times New Roman" w:cs="Times New Roman"/>
          <w:color w:val="222222"/>
          <w:sz w:val="24"/>
          <w:szCs w:val="24"/>
        </w:rPr>
        <w:t>r</w:t>
      </w:r>
      <w:r w:rsidR="00624C9D">
        <w:rPr>
          <w:rFonts w:ascii="Times New Roman" w:eastAsia="Times New Roman" w:hAnsi="Times New Roman" w:cs="Times New Roman"/>
          <w:color w:val="222222"/>
          <w:sz w:val="24"/>
          <w:szCs w:val="24"/>
        </w:rPr>
        <w:t xml:space="preserve">eimbursement </w:t>
      </w:r>
      <w:r w:rsidR="00AC49FF">
        <w:rPr>
          <w:rFonts w:ascii="Times New Roman" w:eastAsia="Times New Roman" w:hAnsi="Times New Roman" w:cs="Times New Roman"/>
          <w:color w:val="222222"/>
          <w:sz w:val="24"/>
          <w:szCs w:val="24"/>
        </w:rPr>
        <w:t>r</w:t>
      </w:r>
      <w:r w:rsidR="00DA7C4E" w:rsidRPr="00801CF6">
        <w:rPr>
          <w:rFonts w:ascii="Times New Roman" w:eastAsia="Times New Roman" w:hAnsi="Times New Roman" w:cs="Times New Roman"/>
          <w:color w:val="222222"/>
          <w:sz w:val="24"/>
          <w:szCs w:val="24"/>
        </w:rPr>
        <w:t>ate negotiations for MH</w:t>
      </w:r>
      <w:r w:rsidR="00526058">
        <w:rPr>
          <w:rFonts w:ascii="Times New Roman" w:eastAsia="Times New Roman" w:hAnsi="Times New Roman" w:cs="Times New Roman"/>
          <w:color w:val="222222"/>
          <w:sz w:val="24"/>
          <w:szCs w:val="24"/>
        </w:rPr>
        <w:t xml:space="preserve"> providers</w:t>
      </w:r>
      <w:r w:rsidR="00A00DB9">
        <w:rPr>
          <w:rFonts w:ascii="Times New Roman" w:eastAsia="Times New Roman" w:hAnsi="Times New Roman" w:cs="Times New Roman"/>
          <w:color w:val="222222"/>
          <w:sz w:val="24"/>
          <w:szCs w:val="24"/>
        </w:rPr>
        <w:t xml:space="preserve"> and </w:t>
      </w:r>
      <w:r w:rsidR="00DA7C4E" w:rsidRPr="00801CF6">
        <w:rPr>
          <w:rFonts w:ascii="Times New Roman" w:eastAsia="Times New Roman" w:hAnsi="Times New Roman" w:cs="Times New Roman"/>
          <w:color w:val="222222"/>
          <w:sz w:val="24"/>
          <w:szCs w:val="24"/>
        </w:rPr>
        <w:t xml:space="preserve">SUD </w:t>
      </w:r>
      <w:r w:rsidR="00526058">
        <w:rPr>
          <w:rFonts w:ascii="Times New Roman" w:eastAsia="Times New Roman" w:hAnsi="Times New Roman" w:cs="Times New Roman"/>
          <w:color w:val="222222"/>
          <w:sz w:val="24"/>
          <w:szCs w:val="24"/>
        </w:rPr>
        <w:t xml:space="preserve">providers </w:t>
      </w:r>
      <w:r w:rsidR="00DA7C4E" w:rsidRPr="00801CF6">
        <w:rPr>
          <w:rFonts w:ascii="Times New Roman" w:eastAsia="Times New Roman" w:hAnsi="Times New Roman" w:cs="Times New Roman"/>
          <w:color w:val="222222"/>
          <w:sz w:val="24"/>
          <w:szCs w:val="24"/>
        </w:rPr>
        <w:t xml:space="preserve">compared to </w:t>
      </w:r>
      <w:r w:rsidR="00FA3D0B" w:rsidRPr="00801CF6">
        <w:rPr>
          <w:rFonts w:ascii="Times New Roman" w:eastAsia="Times New Roman" w:hAnsi="Times New Roman" w:cs="Times New Roman"/>
          <w:color w:val="000000"/>
          <w:sz w:val="24"/>
          <w:szCs w:val="24"/>
        </w:rPr>
        <w:t>medical/surgical</w:t>
      </w:r>
      <w:r w:rsidR="00DA7C4E" w:rsidRPr="00801CF6">
        <w:rPr>
          <w:rFonts w:ascii="Times New Roman" w:eastAsia="Times New Roman" w:hAnsi="Times New Roman" w:cs="Times New Roman"/>
          <w:color w:val="222222"/>
          <w:sz w:val="24"/>
          <w:szCs w:val="24"/>
        </w:rPr>
        <w:t xml:space="preserve"> providers</w:t>
      </w:r>
      <w:r w:rsidR="00624C9D">
        <w:rPr>
          <w:rFonts w:ascii="Times New Roman" w:eastAsia="Times New Roman" w:hAnsi="Times New Roman" w:cs="Times New Roman"/>
          <w:color w:val="222222"/>
          <w:sz w:val="24"/>
          <w:szCs w:val="24"/>
        </w:rPr>
        <w:t xml:space="preserve"> </w:t>
      </w:r>
      <w:r w:rsidR="00444EA7">
        <w:rPr>
          <w:rFonts w:ascii="Times New Roman" w:eastAsia="Times New Roman" w:hAnsi="Times New Roman" w:cs="Times New Roman"/>
          <w:color w:val="222222"/>
          <w:sz w:val="24"/>
          <w:szCs w:val="24"/>
        </w:rPr>
        <w:t xml:space="preserve">in each classification or </w:t>
      </w:r>
      <w:r w:rsidR="00DA7C4E" w:rsidRPr="00801CF6">
        <w:rPr>
          <w:rFonts w:ascii="Times New Roman" w:eastAsia="Times New Roman" w:hAnsi="Times New Roman" w:cs="Times New Roman"/>
          <w:color w:val="222222"/>
          <w:sz w:val="24"/>
          <w:szCs w:val="24"/>
        </w:rPr>
        <w:t xml:space="preserve">sub-classification, </w:t>
      </w:r>
      <w:r w:rsidR="00624C9D">
        <w:rPr>
          <w:rFonts w:ascii="Times New Roman" w:eastAsia="Times New Roman" w:hAnsi="Times New Roman" w:cs="Times New Roman"/>
          <w:color w:val="222222"/>
          <w:sz w:val="24"/>
          <w:szCs w:val="24"/>
        </w:rPr>
        <w:t>and address, if applicable,</w:t>
      </w:r>
      <w:r w:rsidR="00624C9D" w:rsidRPr="00624C9D">
        <w:rPr>
          <w:rFonts w:ascii="Times New Roman" w:eastAsia="Times New Roman" w:hAnsi="Times New Roman" w:cs="Times New Roman"/>
          <w:color w:val="222222"/>
          <w:sz w:val="24"/>
          <w:szCs w:val="24"/>
        </w:rPr>
        <w:t xml:space="preserve"> the factors, evidentiary standards, and sources used to </w:t>
      </w:r>
      <w:r w:rsidR="00624C9D">
        <w:rPr>
          <w:rFonts w:ascii="Times New Roman" w:eastAsia="Times New Roman" w:hAnsi="Times New Roman" w:cs="Times New Roman"/>
          <w:color w:val="222222"/>
          <w:sz w:val="24"/>
          <w:szCs w:val="24"/>
        </w:rPr>
        <w:t>determine</w:t>
      </w:r>
      <w:r w:rsidR="00DA7C4E" w:rsidRPr="00801CF6">
        <w:rPr>
          <w:rFonts w:ascii="Times New Roman" w:eastAsia="Times New Roman" w:hAnsi="Times New Roman" w:cs="Times New Roman"/>
          <w:color w:val="222222"/>
          <w:sz w:val="24"/>
          <w:szCs w:val="24"/>
        </w:rPr>
        <w:t>:</w:t>
      </w:r>
    </w:p>
    <w:p w14:paraId="54935427" w14:textId="41DA2533" w:rsidR="00DA7C4E" w:rsidRDefault="00444EA7" w:rsidP="00AC49FF">
      <w:pPr>
        <w:pStyle w:val="ListParagraph"/>
        <w:numPr>
          <w:ilvl w:val="0"/>
          <w:numId w:val="38"/>
        </w:numPr>
        <w:shd w:val="clear" w:color="auto" w:fill="FFFFFF"/>
        <w:spacing w:after="0" w:line="231"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w:t>
      </w:r>
      <w:r w:rsidR="00DA7C4E" w:rsidRPr="00EC69DA">
        <w:rPr>
          <w:rFonts w:ascii="Times New Roman" w:eastAsia="Times New Roman" w:hAnsi="Times New Roman" w:cs="Times New Roman"/>
          <w:color w:val="222222"/>
          <w:sz w:val="24"/>
          <w:szCs w:val="24"/>
        </w:rPr>
        <w:t xml:space="preserve">o initiate negotiations with a provider or </w:t>
      </w:r>
      <w:r w:rsidR="00AC49FF">
        <w:rPr>
          <w:rFonts w:ascii="Times New Roman" w:eastAsia="Times New Roman" w:hAnsi="Times New Roman" w:cs="Times New Roman"/>
          <w:color w:val="222222"/>
          <w:sz w:val="24"/>
          <w:szCs w:val="24"/>
        </w:rPr>
        <w:t>fa</w:t>
      </w:r>
      <w:r w:rsidR="00DA7C4E" w:rsidRPr="00EC69DA">
        <w:rPr>
          <w:rFonts w:ascii="Times New Roman" w:eastAsia="Times New Roman" w:hAnsi="Times New Roman" w:cs="Times New Roman"/>
          <w:color w:val="222222"/>
          <w:sz w:val="24"/>
          <w:szCs w:val="24"/>
        </w:rPr>
        <w:t xml:space="preserve">cility for </w:t>
      </w:r>
      <w:r w:rsidR="0049037A">
        <w:rPr>
          <w:rFonts w:ascii="Times New Roman" w:eastAsia="Times New Roman" w:hAnsi="Times New Roman" w:cs="Times New Roman"/>
          <w:color w:val="222222"/>
          <w:sz w:val="24"/>
          <w:szCs w:val="24"/>
        </w:rPr>
        <w:t>fees</w:t>
      </w:r>
      <w:r w:rsidR="00DA7C4E" w:rsidRPr="00EC69DA">
        <w:rPr>
          <w:rFonts w:ascii="Times New Roman" w:eastAsia="Times New Roman" w:hAnsi="Times New Roman" w:cs="Times New Roman"/>
          <w:color w:val="222222"/>
          <w:sz w:val="24"/>
          <w:szCs w:val="24"/>
        </w:rPr>
        <w:t xml:space="preserve"> </w:t>
      </w:r>
      <w:r w:rsidR="00624C9D">
        <w:rPr>
          <w:rFonts w:ascii="Times New Roman" w:eastAsia="Times New Roman" w:hAnsi="Times New Roman" w:cs="Times New Roman"/>
          <w:color w:val="222222"/>
          <w:sz w:val="24"/>
          <w:szCs w:val="24"/>
        </w:rPr>
        <w:t xml:space="preserve">or reimbursement </w:t>
      </w:r>
      <w:r w:rsidR="00DA7C4E" w:rsidRPr="00EC69DA">
        <w:rPr>
          <w:rFonts w:ascii="Times New Roman" w:eastAsia="Times New Roman" w:hAnsi="Times New Roman" w:cs="Times New Roman"/>
          <w:color w:val="222222"/>
          <w:sz w:val="24"/>
          <w:szCs w:val="24"/>
        </w:rPr>
        <w:t>other than the standard fee schedul</w:t>
      </w:r>
      <w:r w:rsidR="00624C9D">
        <w:rPr>
          <w:rFonts w:ascii="Times New Roman" w:eastAsia="Times New Roman" w:hAnsi="Times New Roman" w:cs="Times New Roman"/>
          <w:color w:val="222222"/>
          <w:sz w:val="24"/>
          <w:szCs w:val="24"/>
        </w:rPr>
        <w:t>e</w:t>
      </w:r>
      <w:r w:rsidR="00B029F1" w:rsidRPr="00EC69DA">
        <w:rPr>
          <w:rFonts w:ascii="Times New Roman" w:eastAsia="Times New Roman" w:hAnsi="Times New Roman" w:cs="Times New Roman"/>
          <w:color w:val="222222"/>
          <w:sz w:val="24"/>
          <w:szCs w:val="24"/>
        </w:rPr>
        <w:t>;</w:t>
      </w:r>
    </w:p>
    <w:p w14:paraId="6DBDF029" w14:textId="2FC2FA22" w:rsidR="0049037A" w:rsidRPr="00EC69DA" w:rsidRDefault="00444EA7" w:rsidP="00AC49FF">
      <w:pPr>
        <w:pStyle w:val="ListParagraph"/>
        <w:numPr>
          <w:ilvl w:val="0"/>
          <w:numId w:val="38"/>
        </w:numPr>
        <w:shd w:val="clear" w:color="auto" w:fill="FFFFFF"/>
        <w:spacing w:after="0" w:line="231"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w:t>
      </w:r>
      <w:r w:rsidR="0049037A">
        <w:rPr>
          <w:rFonts w:ascii="Times New Roman" w:eastAsia="Times New Roman" w:hAnsi="Times New Roman" w:cs="Times New Roman"/>
          <w:color w:val="222222"/>
          <w:sz w:val="24"/>
          <w:szCs w:val="24"/>
        </w:rPr>
        <w:t xml:space="preserve">hether a practitioner type is reimbursed </w:t>
      </w:r>
      <w:r w:rsidR="00A922F1">
        <w:rPr>
          <w:rFonts w:ascii="Times New Roman" w:eastAsia="Times New Roman" w:hAnsi="Times New Roman" w:cs="Times New Roman"/>
          <w:color w:val="222222"/>
          <w:sz w:val="24"/>
          <w:szCs w:val="24"/>
        </w:rPr>
        <w:t xml:space="preserve">directly or </w:t>
      </w:r>
      <w:r w:rsidR="0049037A">
        <w:rPr>
          <w:rFonts w:ascii="Times New Roman" w:eastAsia="Times New Roman" w:hAnsi="Times New Roman" w:cs="Times New Roman"/>
          <w:color w:val="222222"/>
          <w:sz w:val="24"/>
          <w:szCs w:val="24"/>
        </w:rPr>
        <w:t>under a supervising physician;</w:t>
      </w:r>
    </w:p>
    <w:p w14:paraId="4788496D" w14:textId="72A76198" w:rsidR="00624C9D" w:rsidRDefault="00A922F1" w:rsidP="00AC49FF">
      <w:pPr>
        <w:pStyle w:val="ListParagraph"/>
        <w:numPr>
          <w:ilvl w:val="0"/>
          <w:numId w:val="38"/>
        </w:numPr>
        <w:shd w:val="clear" w:color="auto" w:fill="FFFFFF"/>
        <w:spacing w:after="0" w:line="231"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w:t>
      </w:r>
      <w:r w:rsidR="00624C9D">
        <w:rPr>
          <w:rFonts w:ascii="Times New Roman" w:eastAsia="Times New Roman" w:hAnsi="Times New Roman" w:cs="Times New Roman"/>
          <w:color w:val="222222"/>
          <w:sz w:val="24"/>
          <w:szCs w:val="24"/>
        </w:rPr>
        <w:t>he reimbursement</w:t>
      </w:r>
      <w:r w:rsidR="00DA7C4E" w:rsidRPr="00EC69DA">
        <w:rPr>
          <w:rFonts w:ascii="Times New Roman" w:eastAsia="Times New Roman" w:hAnsi="Times New Roman" w:cs="Times New Roman"/>
          <w:color w:val="222222"/>
          <w:sz w:val="24"/>
          <w:szCs w:val="24"/>
        </w:rPr>
        <w:t xml:space="preserve"> negotiation</w:t>
      </w:r>
      <w:r w:rsidR="00624C9D">
        <w:rPr>
          <w:rFonts w:ascii="Times New Roman" w:eastAsia="Times New Roman" w:hAnsi="Times New Roman" w:cs="Times New Roman"/>
          <w:color w:val="222222"/>
          <w:sz w:val="24"/>
          <w:szCs w:val="24"/>
        </w:rPr>
        <w:t xml:space="preserve"> strategy or approach, </w:t>
      </w:r>
      <w:r w:rsidR="00DA7C4E" w:rsidRPr="00EC69DA">
        <w:rPr>
          <w:rFonts w:ascii="Times New Roman" w:eastAsia="Times New Roman" w:hAnsi="Times New Roman" w:cs="Times New Roman"/>
          <w:color w:val="222222"/>
          <w:sz w:val="24"/>
          <w:szCs w:val="24"/>
        </w:rPr>
        <w:t xml:space="preserve">and final </w:t>
      </w:r>
      <w:r w:rsidR="00624C9D">
        <w:rPr>
          <w:rFonts w:ascii="Times New Roman" w:eastAsia="Times New Roman" w:hAnsi="Times New Roman" w:cs="Times New Roman"/>
          <w:color w:val="222222"/>
          <w:sz w:val="24"/>
          <w:szCs w:val="24"/>
        </w:rPr>
        <w:t>reimbursement</w:t>
      </w:r>
      <w:r w:rsidR="00DA7C4E" w:rsidRPr="00EC69DA">
        <w:rPr>
          <w:rFonts w:ascii="Times New Roman" w:eastAsia="Times New Roman" w:hAnsi="Times New Roman" w:cs="Times New Roman"/>
          <w:color w:val="222222"/>
          <w:sz w:val="24"/>
          <w:szCs w:val="24"/>
        </w:rPr>
        <w:t xml:space="preserve"> det</w:t>
      </w:r>
      <w:r w:rsidR="00AC49FF">
        <w:rPr>
          <w:rFonts w:ascii="Times New Roman" w:eastAsia="Times New Roman" w:hAnsi="Times New Roman" w:cs="Times New Roman"/>
          <w:color w:val="222222"/>
          <w:sz w:val="24"/>
          <w:szCs w:val="24"/>
        </w:rPr>
        <w:t>erminations with a provider or f</w:t>
      </w:r>
      <w:r w:rsidR="00DA7C4E" w:rsidRPr="00EC69DA">
        <w:rPr>
          <w:rFonts w:ascii="Times New Roman" w:eastAsia="Times New Roman" w:hAnsi="Times New Roman" w:cs="Times New Roman"/>
          <w:color w:val="222222"/>
          <w:sz w:val="24"/>
          <w:szCs w:val="24"/>
        </w:rPr>
        <w:t xml:space="preserve">acility for </w:t>
      </w:r>
      <w:r w:rsidR="00624C9D">
        <w:rPr>
          <w:rFonts w:ascii="Times New Roman" w:eastAsia="Times New Roman" w:hAnsi="Times New Roman" w:cs="Times New Roman"/>
          <w:color w:val="222222"/>
          <w:sz w:val="24"/>
          <w:szCs w:val="24"/>
        </w:rPr>
        <w:t>reimbursement</w:t>
      </w:r>
      <w:r w:rsidR="00DA7C4E" w:rsidRPr="00EC69DA">
        <w:rPr>
          <w:rFonts w:ascii="Times New Roman" w:eastAsia="Times New Roman" w:hAnsi="Times New Roman" w:cs="Times New Roman"/>
          <w:color w:val="222222"/>
          <w:sz w:val="24"/>
          <w:szCs w:val="24"/>
        </w:rPr>
        <w:t xml:space="preserve"> other than the standard fee schedule</w:t>
      </w:r>
      <w:r w:rsidR="00B029F1" w:rsidRPr="00EC69DA">
        <w:rPr>
          <w:rFonts w:ascii="Times New Roman" w:eastAsia="Times New Roman" w:hAnsi="Times New Roman" w:cs="Times New Roman"/>
          <w:color w:val="222222"/>
          <w:sz w:val="24"/>
          <w:szCs w:val="24"/>
        </w:rPr>
        <w:t>;</w:t>
      </w:r>
      <w:r w:rsidR="00EC69DA" w:rsidRPr="00EC69DA">
        <w:rPr>
          <w:rFonts w:ascii="Times New Roman" w:eastAsia="Times New Roman" w:hAnsi="Times New Roman" w:cs="Times New Roman"/>
          <w:color w:val="222222"/>
          <w:sz w:val="24"/>
          <w:szCs w:val="24"/>
        </w:rPr>
        <w:t xml:space="preserve"> </w:t>
      </w:r>
    </w:p>
    <w:p w14:paraId="33102D2B" w14:textId="07656B27" w:rsidR="00DA7C4E" w:rsidRPr="00094763" w:rsidRDefault="00A922F1" w:rsidP="00AC49FF">
      <w:pPr>
        <w:pStyle w:val="ListParagraph"/>
        <w:numPr>
          <w:ilvl w:val="0"/>
          <w:numId w:val="38"/>
        </w:numPr>
        <w:shd w:val="clear" w:color="auto" w:fill="FFFFFF"/>
        <w:spacing w:after="0" w:line="231"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w:t>
      </w:r>
      <w:r w:rsidR="00624C9D">
        <w:rPr>
          <w:rFonts w:ascii="Times New Roman" w:eastAsia="Times New Roman" w:hAnsi="Times New Roman" w:cs="Times New Roman"/>
          <w:color w:val="222222"/>
          <w:sz w:val="24"/>
          <w:szCs w:val="24"/>
        </w:rPr>
        <w:t>lternative reimbursement arrangements, such as capitation payments, global payments, or value-based payments;</w:t>
      </w:r>
      <w:r w:rsidR="00094763">
        <w:rPr>
          <w:rFonts w:ascii="Times New Roman" w:eastAsia="Times New Roman" w:hAnsi="Times New Roman" w:cs="Times New Roman"/>
          <w:color w:val="222222"/>
          <w:sz w:val="24"/>
          <w:szCs w:val="24"/>
        </w:rPr>
        <w:t xml:space="preserve"> </w:t>
      </w:r>
      <w:r w:rsidR="00EC69DA" w:rsidRPr="00094763">
        <w:rPr>
          <w:rFonts w:ascii="Times New Roman" w:eastAsia="Times New Roman" w:hAnsi="Times New Roman" w:cs="Times New Roman"/>
          <w:color w:val="222222"/>
          <w:sz w:val="24"/>
          <w:szCs w:val="24"/>
        </w:rPr>
        <w:t>and</w:t>
      </w:r>
    </w:p>
    <w:p w14:paraId="66779F58" w14:textId="7A193AFE" w:rsidR="00DA7C4E" w:rsidRPr="00EC69DA" w:rsidRDefault="00A922F1" w:rsidP="00AC49FF">
      <w:pPr>
        <w:pStyle w:val="ListParagraph"/>
        <w:numPr>
          <w:ilvl w:val="0"/>
          <w:numId w:val="38"/>
        </w:numPr>
        <w:shd w:val="clear" w:color="auto" w:fill="FFFFFF"/>
        <w:spacing w:after="0" w:line="231"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w:t>
      </w:r>
      <w:r w:rsidR="00DA7C4E" w:rsidRPr="00EC69DA">
        <w:rPr>
          <w:rFonts w:ascii="Times New Roman" w:eastAsia="Times New Roman" w:hAnsi="Times New Roman" w:cs="Times New Roman"/>
          <w:color w:val="222222"/>
          <w:sz w:val="24"/>
          <w:szCs w:val="24"/>
        </w:rPr>
        <w:t>he percentage of providers/facilities in each classification of benefits for MH</w:t>
      </w:r>
      <w:r w:rsidR="00526058">
        <w:rPr>
          <w:rFonts w:ascii="Times New Roman" w:eastAsia="Times New Roman" w:hAnsi="Times New Roman" w:cs="Times New Roman"/>
          <w:color w:val="222222"/>
          <w:sz w:val="24"/>
          <w:szCs w:val="24"/>
        </w:rPr>
        <w:t>/SUD benefits</w:t>
      </w:r>
      <w:r w:rsidR="00DA7C4E" w:rsidRPr="00EC69DA">
        <w:rPr>
          <w:rFonts w:ascii="Times New Roman" w:eastAsia="Times New Roman" w:hAnsi="Times New Roman" w:cs="Times New Roman"/>
          <w:color w:val="222222"/>
          <w:sz w:val="24"/>
          <w:szCs w:val="24"/>
        </w:rPr>
        <w:t xml:space="preserve"> and </w:t>
      </w:r>
      <w:r w:rsidR="00FA3D0B" w:rsidRPr="00EC69DA">
        <w:rPr>
          <w:rFonts w:ascii="Times New Roman" w:eastAsia="Times New Roman" w:hAnsi="Times New Roman" w:cs="Times New Roman"/>
          <w:color w:val="000000"/>
          <w:sz w:val="24"/>
          <w:szCs w:val="24"/>
        </w:rPr>
        <w:t>medical/surgical</w:t>
      </w:r>
      <w:r w:rsidR="00DA7C4E" w:rsidRPr="00EC69DA">
        <w:rPr>
          <w:rFonts w:ascii="Times New Roman" w:eastAsia="Times New Roman" w:hAnsi="Times New Roman" w:cs="Times New Roman"/>
          <w:color w:val="222222"/>
          <w:sz w:val="24"/>
          <w:szCs w:val="24"/>
        </w:rPr>
        <w:t xml:space="preserve"> </w:t>
      </w:r>
      <w:r w:rsidR="00AC49FF">
        <w:rPr>
          <w:rFonts w:ascii="Times New Roman" w:eastAsia="Times New Roman" w:hAnsi="Times New Roman" w:cs="Times New Roman"/>
          <w:color w:val="222222"/>
          <w:sz w:val="24"/>
          <w:szCs w:val="24"/>
        </w:rPr>
        <w:t xml:space="preserve">benefits </w:t>
      </w:r>
      <w:r w:rsidR="00DA7C4E" w:rsidRPr="00EC69DA">
        <w:rPr>
          <w:rFonts w:ascii="Times New Roman" w:eastAsia="Times New Roman" w:hAnsi="Times New Roman" w:cs="Times New Roman"/>
          <w:color w:val="222222"/>
          <w:sz w:val="24"/>
          <w:szCs w:val="24"/>
        </w:rPr>
        <w:t xml:space="preserve">for which: </w:t>
      </w:r>
      <w:r w:rsidR="00B029F1" w:rsidRPr="00EC69DA">
        <w:rPr>
          <w:rFonts w:ascii="Times New Roman" w:eastAsia="Times New Roman" w:hAnsi="Times New Roman" w:cs="Times New Roman"/>
          <w:color w:val="222222"/>
          <w:sz w:val="24"/>
          <w:szCs w:val="24"/>
        </w:rPr>
        <w:t>(</w:t>
      </w:r>
      <w:r w:rsidR="00DA7C4E" w:rsidRPr="00EC69DA">
        <w:rPr>
          <w:rFonts w:ascii="Times New Roman" w:eastAsia="Times New Roman" w:hAnsi="Times New Roman" w:cs="Times New Roman"/>
          <w:color w:val="222222"/>
          <w:sz w:val="24"/>
          <w:szCs w:val="24"/>
        </w:rPr>
        <w:t xml:space="preserve">a) negotiations resulted in a negotiated </w:t>
      </w:r>
      <w:r w:rsidR="00624C9D">
        <w:rPr>
          <w:rFonts w:ascii="Times New Roman" w:eastAsia="Times New Roman" w:hAnsi="Times New Roman" w:cs="Times New Roman"/>
          <w:color w:val="222222"/>
          <w:sz w:val="24"/>
          <w:szCs w:val="24"/>
        </w:rPr>
        <w:t xml:space="preserve">reimbursement </w:t>
      </w:r>
      <w:r w:rsidR="00DA7C4E" w:rsidRPr="00EC69DA">
        <w:rPr>
          <w:rFonts w:ascii="Times New Roman" w:eastAsia="Times New Roman" w:hAnsi="Times New Roman" w:cs="Times New Roman"/>
          <w:color w:val="222222"/>
          <w:sz w:val="24"/>
          <w:szCs w:val="24"/>
        </w:rPr>
        <w:t xml:space="preserve">contract out of all negotiations initiated; </w:t>
      </w:r>
      <w:r w:rsidR="00B029F1" w:rsidRPr="00EC69DA">
        <w:rPr>
          <w:rFonts w:ascii="Times New Roman" w:eastAsia="Times New Roman" w:hAnsi="Times New Roman" w:cs="Times New Roman"/>
          <w:color w:val="222222"/>
          <w:sz w:val="24"/>
          <w:szCs w:val="24"/>
        </w:rPr>
        <w:t>or (</w:t>
      </w:r>
      <w:r w:rsidR="00DA7C4E" w:rsidRPr="00EC69DA">
        <w:rPr>
          <w:rFonts w:ascii="Times New Roman" w:eastAsia="Times New Roman" w:hAnsi="Times New Roman" w:cs="Times New Roman"/>
          <w:color w:val="222222"/>
          <w:sz w:val="24"/>
          <w:szCs w:val="24"/>
        </w:rPr>
        <w:t>b</w:t>
      </w:r>
      <w:r w:rsidR="00AC49FF">
        <w:rPr>
          <w:rFonts w:ascii="Times New Roman" w:eastAsia="Times New Roman" w:hAnsi="Times New Roman" w:cs="Times New Roman"/>
          <w:color w:val="222222"/>
          <w:sz w:val="24"/>
          <w:szCs w:val="24"/>
        </w:rPr>
        <w:t xml:space="preserve">) </w:t>
      </w:r>
      <w:r w:rsidR="00DA7C4E" w:rsidRPr="00EC69DA">
        <w:rPr>
          <w:rFonts w:ascii="Times New Roman" w:eastAsia="Times New Roman" w:hAnsi="Times New Roman" w:cs="Times New Roman"/>
          <w:color w:val="222222"/>
          <w:sz w:val="24"/>
          <w:szCs w:val="24"/>
        </w:rPr>
        <w:t xml:space="preserve">a negotiated </w:t>
      </w:r>
      <w:r w:rsidR="00624C9D">
        <w:rPr>
          <w:rFonts w:ascii="Times New Roman" w:eastAsia="Times New Roman" w:hAnsi="Times New Roman" w:cs="Times New Roman"/>
          <w:color w:val="222222"/>
          <w:sz w:val="24"/>
          <w:szCs w:val="24"/>
        </w:rPr>
        <w:t>fee</w:t>
      </w:r>
      <w:r w:rsidR="00DA7C4E" w:rsidRPr="00EC69DA">
        <w:rPr>
          <w:rFonts w:ascii="Times New Roman" w:eastAsia="Times New Roman" w:hAnsi="Times New Roman" w:cs="Times New Roman"/>
          <w:color w:val="222222"/>
          <w:sz w:val="24"/>
          <w:szCs w:val="24"/>
        </w:rPr>
        <w:t xml:space="preserve"> </w:t>
      </w:r>
      <w:r w:rsidR="00624C9D">
        <w:rPr>
          <w:rFonts w:ascii="Times New Roman" w:eastAsia="Times New Roman" w:hAnsi="Times New Roman" w:cs="Times New Roman"/>
          <w:color w:val="222222"/>
          <w:sz w:val="24"/>
          <w:szCs w:val="24"/>
        </w:rPr>
        <w:t xml:space="preserve">or other reimbursement </w:t>
      </w:r>
      <w:r w:rsidR="00DA7C4E" w:rsidRPr="00EC69DA">
        <w:rPr>
          <w:rFonts w:ascii="Times New Roman" w:eastAsia="Times New Roman" w:hAnsi="Times New Roman" w:cs="Times New Roman"/>
          <w:color w:val="222222"/>
          <w:sz w:val="24"/>
          <w:szCs w:val="24"/>
        </w:rPr>
        <w:t>applies (as distinguished from a standard fee schedule).</w:t>
      </w:r>
    </w:p>
    <w:p w14:paraId="24A01557" w14:textId="77777777" w:rsidR="00DA13C0" w:rsidRPr="00801CF6" w:rsidRDefault="00DA13C0" w:rsidP="00DA13C0">
      <w:pPr>
        <w:pBdr>
          <w:top w:val="nil"/>
          <w:left w:val="nil"/>
          <w:bottom w:val="nil"/>
          <w:right w:val="nil"/>
          <w:between w:val="nil"/>
        </w:pBdr>
        <w:spacing w:after="0"/>
        <w:rPr>
          <w:rFonts w:ascii="Times New Roman" w:hAnsi="Times New Roman" w:cs="Times New Roman"/>
          <w:sz w:val="24"/>
          <w:szCs w:val="24"/>
        </w:rPr>
      </w:pPr>
    </w:p>
    <w:p w14:paraId="46411896" w14:textId="3D7B7907" w:rsidR="001734D2" w:rsidRPr="00801CF6" w:rsidRDefault="001734D2" w:rsidP="00C51A48">
      <w:pPr>
        <w:widowControl w:val="0"/>
        <w:pBdr>
          <w:top w:val="nil"/>
          <w:left w:val="nil"/>
          <w:bottom w:val="nil"/>
          <w:right w:val="nil"/>
          <w:between w:val="nil"/>
        </w:pBdr>
        <w:spacing w:after="0"/>
        <w:ind w:left="360" w:firstLine="0"/>
        <w:rPr>
          <w:rFonts w:ascii="Times New Roman" w:hAnsi="Times New Roman" w:cs="Times New Roman"/>
          <w:sz w:val="24"/>
          <w:szCs w:val="24"/>
        </w:rPr>
      </w:pPr>
      <w:r w:rsidRPr="00801CF6">
        <w:rPr>
          <w:rFonts w:ascii="Times New Roman" w:hAnsi="Times New Roman" w:cs="Times New Roman"/>
          <w:sz w:val="24"/>
          <w:szCs w:val="24"/>
        </w:rPr>
        <w:t>To the extent there are differences</w:t>
      </w:r>
      <w:r w:rsidR="00A922F1">
        <w:rPr>
          <w:rFonts w:ascii="Times New Roman" w:hAnsi="Times New Roman" w:cs="Times New Roman"/>
          <w:sz w:val="24"/>
          <w:szCs w:val="24"/>
        </w:rPr>
        <w:t xml:space="preserve"> </w:t>
      </w:r>
      <w:r w:rsidRPr="00801CF6">
        <w:rPr>
          <w:rFonts w:ascii="Times New Roman" w:hAnsi="Times New Roman" w:cs="Times New Roman"/>
          <w:sz w:val="24"/>
          <w:szCs w:val="24"/>
        </w:rPr>
        <w:t xml:space="preserve">in the process for determining reimbursement rates for physician practitioners </w:t>
      </w:r>
      <w:r w:rsidR="00A922F1">
        <w:rPr>
          <w:rFonts w:ascii="Times New Roman" w:hAnsi="Times New Roman" w:cs="Times New Roman"/>
          <w:sz w:val="24"/>
          <w:szCs w:val="24"/>
        </w:rPr>
        <w:t>and</w:t>
      </w:r>
      <w:r w:rsidRPr="00801CF6">
        <w:rPr>
          <w:rFonts w:ascii="Times New Roman" w:hAnsi="Times New Roman" w:cs="Times New Roman"/>
          <w:sz w:val="24"/>
          <w:szCs w:val="24"/>
        </w:rPr>
        <w:t xml:space="preserve"> non-physician practitioners (</w:t>
      </w:r>
      <w:r w:rsidR="00A922F1">
        <w:rPr>
          <w:rFonts w:ascii="Times New Roman" w:hAnsi="Times New Roman" w:cs="Times New Roman"/>
          <w:sz w:val="24"/>
          <w:szCs w:val="24"/>
        </w:rPr>
        <w:t>for example,</w:t>
      </w:r>
      <w:r w:rsidRPr="00801CF6">
        <w:rPr>
          <w:rFonts w:ascii="Times New Roman" w:hAnsi="Times New Roman" w:cs="Times New Roman"/>
          <w:sz w:val="24"/>
          <w:szCs w:val="24"/>
        </w:rPr>
        <w:t xml:space="preserve"> physician assistants, nurse practitioners, licensed social workers, and psychologists), separate analyses should be provided. Any variance in </w:t>
      </w:r>
      <w:r w:rsidR="0049037A">
        <w:rPr>
          <w:rFonts w:ascii="Times New Roman" w:hAnsi="Times New Roman" w:cs="Times New Roman"/>
          <w:sz w:val="24"/>
          <w:szCs w:val="24"/>
        </w:rPr>
        <w:t>fees</w:t>
      </w:r>
      <w:r w:rsidR="0049037A" w:rsidRPr="00801CF6">
        <w:rPr>
          <w:rFonts w:ascii="Times New Roman" w:hAnsi="Times New Roman" w:cs="Times New Roman"/>
          <w:sz w:val="24"/>
          <w:szCs w:val="24"/>
        </w:rPr>
        <w:t xml:space="preserve"> </w:t>
      </w:r>
      <w:r w:rsidRPr="00801CF6">
        <w:rPr>
          <w:rFonts w:ascii="Times New Roman" w:hAnsi="Times New Roman" w:cs="Times New Roman"/>
          <w:sz w:val="24"/>
          <w:szCs w:val="24"/>
        </w:rPr>
        <w:t xml:space="preserve">applied by the carrier to account for factors such as the nature of the service, provider type, or availability must be comparable and applied no more stringently to MH/SUD benefits than </w:t>
      </w:r>
      <w:r w:rsidR="00952820">
        <w:rPr>
          <w:rFonts w:ascii="Times New Roman" w:hAnsi="Times New Roman" w:cs="Times New Roman"/>
          <w:sz w:val="24"/>
          <w:szCs w:val="24"/>
        </w:rPr>
        <w:t xml:space="preserve">to </w:t>
      </w:r>
      <w:r w:rsidR="00FA3D0B" w:rsidRPr="00801CF6">
        <w:rPr>
          <w:rFonts w:ascii="Times New Roman" w:eastAsia="Times New Roman" w:hAnsi="Times New Roman" w:cs="Times New Roman"/>
          <w:color w:val="000000"/>
          <w:sz w:val="24"/>
          <w:szCs w:val="24"/>
        </w:rPr>
        <w:t>medical/surgical</w:t>
      </w:r>
      <w:r w:rsidRPr="00801CF6">
        <w:rPr>
          <w:rFonts w:ascii="Times New Roman" w:hAnsi="Times New Roman" w:cs="Times New Roman"/>
          <w:sz w:val="24"/>
          <w:szCs w:val="24"/>
        </w:rPr>
        <w:t xml:space="preserve"> benefits.</w:t>
      </w:r>
    </w:p>
    <w:p w14:paraId="4EBCE0D0" w14:textId="7152B51A" w:rsidR="009D5F96" w:rsidRPr="00801CF6" w:rsidRDefault="009D5F96" w:rsidP="00C51A48">
      <w:pPr>
        <w:pStyle w:val="ListParagraph"/>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p>
    <w:p w14:paraId="7EE6C34A" w14:textId="21578772" w:rsidR="009D5F96" w:rsidRPr="00801CF6" w:rsidRDefault="009D5F96" w:rsidP="00C51A48">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Carrier responses must include consideration of any Maryland laws </w:t>
      </w:r>
      <w:r w:rsidR="006061D1">
        <w:rPr>
          <w:rFonts w:ascii="Times New Roman" w:eastAsia="Times New Roman" w:hAnsi="Times New Roman" w:cs="Times New Roman"/>
          <w:color w:val="000000"/>
          <w:sz w:val="24"/>
          <w:szCs w:val="24"/>
        </w:rPr>
        <w:t xml:space="preserve">as amended </w:t>
      </w:r>
      <w:r w:rsidRPr="00801CF6">
        <w:rPr>
          <w:rFonts w:ascii="Times New Roman" w:eastAsia="Times New Roman" w:hAnsi="Times New Roman" w:cs="Times New Roman"/>
          <w:color w:val="000000"/>
          <w:sz w:val="24"/>
          <w:szCs w:val="24"/>
        </w:rPr>
        <w:t>that establish specific</w:t>
      </w:r>
      <w:r w:rsidR="00C11FB6">
        <w:rPr>
          <w:rFonts w:ascii="Times New Roman" w:eastAsia="Times New Roman" w:hAnsi="Times New Roman" w:cs="Times New Roman"/>
          <w:color w:val="000000"/>
          <w:sz w:val="24"/>
          <w:szCs w:val="24"/>
        </w:rPr>
        <w:t xml:space="preserve"> reimbursement</w:t>
      </w:r>
      <w:r w:rsidRPr="00801CF6">
        <w:rPr>
          <w:rFonts w:ascii="Times New Roman" w:eastAsia="Times New Roman" w:hAnsi="Times New Roman" w:cs="Times New Roman"/>
          <w:color w:val="000000"/>
          <w:sz w:val="24"/>
          <w:szCs w:val="24"/>
        </w:rPr>
        <w:t xml:space="preserve"> rate methodologies for particular services or providers (</w:t>
      </w:r>
      <w:r w:rsidR="006061D1">
        <w:rPr>
          <w:rFonts w:ascii="Times New Roman" w:eastAsia="Times New Roman" w:hAnsi="Times New Roman" w:cs="Times New Roman"/>
          <w:color w:val="000000"/>
          <w:sz w:val="24"/>
          <w:szCs w:val="24"/>
        </w:rPr>
        <w:t>such as</w:t>
      </w:r>
      <w:r w:rsidRPr="00801CF6">
        <w:rPr>
          <w:rFonts w:ascii="Times New Roman" w:eastAsia="Times New Roman" w:hAnsi="Times New Roman" w:cs="Times New Roman"/>
          <w:color w:val="000000"/>
          <w:sz w:val="24"/>
          <w:szCs w:val="24"/>
        </w:rPr>
        <w:t>, §§ 14-205.2 and 15-604 of the Insurance Article and §§ 19-710(e) and 19-710.1 of the Health-General Article).  The existence of a statutorily required reimbursement methodology for certain provider types within a benefit classification does  not obviate the need for a comparative analysis for that benefit classification</w:t>
      </w:r>
      <w:r w:rsidR="00BA6F0D">
        <w:rPr>
          <w:rFonts w:ascii="Times New Roman" w:eastAsia="Times New Roman" w:hAnsi="Times New Roman" w:cs="Times New Roman"/>
          <w:color w:val="000000"/>
          <w:sz w:val="24"/>
          <w:szCs w:val="24"/>
        </w:rPr>
        <w:t xml:space="preserve"> </w:t>
      </w:r>
      <w:r w:rsidR="00A922F1">
        <w:rPr>
          <w:rFonts w:ascii="Times New Roman" w:eastAsia="Times New Roman" w:hAnsi="Times New Roman" w:cs="Times New Roman"/>
          <w:color w:val="000000"/>
          <w:sz w:val="24"/>
          <w:szCs w:val="24"/>
        </w:rPr>
        <w:t>because</w:t>
      </w:r>
      <w:r w:rsidRPr="00801CF6">
        <w:rPr>
          <w:rFonts w:ascii="Times New Roman" w:eastAsia="Times New Roman" w:hAnsi="Times New Roman" w:cs="Times New Roman"/>
          <w:color w:val="000000"/>
          <w:sz w:val="24"/>
          <w:szCs w:val="24"/>
        </w:rPr>
        <w:t xml:space="preserve"> Maryland laws do not apply to all providers and services.  However, the focus of the comparative analyses in these cases should be on the providers and services not subject to the applicable law.</w:t>
      </w:r>
    </w:p>
    <w:p w14:paraId="130B37AE" w14:textId="77777777" w:rsidR="00094763" w:rsidRDefault="00094763" w:rsidP="00C51A48">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p>
    <w:p w14:paraId="05B3C47B" w14:textId="35F3EE44" w:rsidR="009D5F96" w:rsidRDefault="009D5F96" w:rsidP="00C51A48">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w:t>
      </w:r>
      <w:r w:rsidR="00034DFA" w:rsidRPr="00801CF6">
        <w:rPr>
          <w:rFonts w:ascii="Times New Roman" w:eastAsia="Times New Roman" w:hAnsi="Times New Roman" w:cs="Times New Roman"/>
          <w:color w:val="000000"/>
          <w:sz w:val="24"/>
          <w:szCs w:val="24"/>
        </w:rPr>
        <w:t xml:space="preserve"> </w:t>
      </w:r>
      <w:r w:rsidR="00A74014" w:rsidRPr="00801CF6">
        <w:rPr>
          <w:rFonts w:ascii="Times New Roman" w:eastAsia="Times New Roman" w:hAnsi="Times New Roman" w:cs="Times New Roman"/>
          <w:color w:val="000000"/>
          <w:sz w:val="24"/>
          <w:szCs w:val="24"/>
        </w:rPr>
        <w:t xml:space="preserve">1 </w:t>
      </w:r>
      <w:r w:rsidRPr="00801CF6">
        <w:rPr>
          <w:rFonts w:ascii="Times New Roman" w:eastAsia="Times New Roman" w:hAnsi="Times New Roman" w:cs="Times New Roman"/>
          <w:color w:val="000000"/>
          <w:sz w:val="24"/>
          <w:szCs w:val="24"/>
        </w:rPr>
        <w:t>must be submitted to support the in</w:t>
      </w:r>
      <w:r w:rsidR="008313AC">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operation comparative analysis under Step 5 for the </w:t>
      </w:r>
      <w:r w:rsidR="00794D90" w:rsidRPr="00801CF6">
        <w:rPr>
          <w:rFonts w:ascii="Times New Roman" w:eastAsia="Times New Roman" w:hAnsi="Times New Roman" w:cs="Times New Roman"/>
          <w:color w:val="000000"/>
          <w:sz w:val="24"/>
          <w:szCs w:val="24"/>
        </w:rPr>
        <w:t xml:space="preserve">In-Network </w:t>
      </w:r>
      <w:r w:rsidRPr="00801CF6">
        <w:rPr>
          <w:rFonts w:ascii="Times New Roman" w:eastAsia="Times New Roman" w:hAnsi="Times New Roman" w:cs="Times New Roman"/>
          <w:color w:val="000000"/>
          <w:sz w:val="24"/>
          <w:szCs w:val="24"/>
        </w:rPr>
        <w:t xml:space="preserve">Provider (Including Facility) Reimbursement </w:t>
      </w:r>
      <w:r w:rsidR="00EC69DA">
        <w:rPr>
          <w:rFonts w:ascii="Times New Roman" w:eastAsia="Times New Roman" w:hAnsi="Times New Roman" w:cs="Times New Roman"/>
          <w:color w:val="000000"/>
          <w:sz w:val="24"/>
          <w:szCs w:val="24"/>
        </w:rPr>
        <w:t xml:space="preserve">and Negotiations </w:t>
      </w:r>
      <w:r w:rsidRPr="00801CF6">
        <w:rPr>
          <w:rFonts w:ascii="Times New Roman" w:eastAsia="Times New Roman" w:hAnsi="Times New Roman" w:cs="Times New Roman"/>
          <w:color w:val="000000"/>
          <w:sz w:val="24"/>
          <w:szCs w:val="24"/>
        </w:rPr>
        <w:t>NQTL.</w:t>
      </w:r>
    </w:p>
    <w:p w14:paraId="4D43E73A" w14:textId="77777777" w:rsidR="00615453" w:rsidRPr="00801CF6" w:rsidRDefault="00615453" w:rsidP="00FE79E6">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p>
    <w:p w14:paraId="000F3C54" w14:textId="77777777" w:rsidR="007E0A83" w:rsidRPr="00801CF6" w:rsidRDefault="007E0A83" w:rsidP="007E0A83">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p>
    <w:p w14:paraId="7B4712E9" w14:textId="58CFF578" w:rsidR="00255BA7" w:rsidRPr="00EC69DA" w:rsidRDefault="00E94C4D" w:rsidP="00C51A48">
      <w:pPr>
        <w:pBdr>
          <w:top w:val="nil"/>
          <w:left w:val="nil"/>
          <w:bottom w:val="nil"/>
          <w:right w:val="nil"/>
          <w:between w:val="nil"/>
        </w:pBdr>
        <w:spacing w:after="0" w:line="240" w:lineRule="auto"/>
        <w:ind w:left="0" w:firstLine="0"/>
        <w:rPr>
          <w:rFonts w:ascii="Times New Roman" w:eastAsia="Times New Roman" w:hAnsi="Times New Roman" w:cs="Times New Roman"/>
          <w:b/>
          <w:color w:val="000000"/>
          <w:sz w:val="24"/>
          <w:szCs w:val="24"/>
          <w:u w:val="single"/>
        </w:rPr>
      </w:pPr>
      <w:r w:rsidRPr="00EC69DA">
        <w:rPr>
          <w:rFonts w:ascii="Times New Roman" w:eastAsia="Times New Roman" w:hAnsi="Times New Roman" w:cs="Times New Roman"/>
          <w:b/>
          <w:bCs/>
          <w:color w:val="000000"/>
          <w:sz w:val="24"/>
          <w:szCs w:val="24"/>
          <w:u w:val="single"/>
        </w:rPr>
        <w:t>NQTL 2</w:t>
      </w:r>
      <w:r w:rsidR="00EC69DA" w:rsidRPr="00EC69DA">
        <w:rPr>
          <w:rFonts w:ascii="Times New Roman" w:eastAsia="Times New Roman" w:hAnsi="Times New Roman" w:cs="Times New Roman"/>
          <w:b/>
          <w:bCs/>
          <w:color w:val="000000"/>
          <w:sz w:val="24"/>
          <w:szCs w:val="24"/>
          <w:u w:val="single"/>
        </w:rPr>
        <w:t>:</w:t>
      </w:r>
      <w:r w:rsidRPr="00EC69DA">
        <w:rPr>
          <w:rFonts w:ascii="Times New Roman" w:eastAsia="Times New Roman" w:hAnsi="Times New Roman" w:cs="Times New Roman"/>
          <w:b/>
          <w:bCs/>
          <w:color w:val="000000"/>
          <w:sz w:val="24"/>
          <w:szCs w:val="24"/>
          <w:u w:val="single"/>
        </w:rPr>
        <w:t xml:space="preserve"> </w:t>
      </w:r>
      <w:r w:rsidRPr="00EC69DA">
        <w:rPr>
          <w:rFonts w:ascii="Times New Roman" w:eastAsia="Times New Roman" w:hAnsi="Times New Roman" w:cs="Times New Roman"/>
          <w:b/>
          <w:color w:val="000000"/>
          <w:sz w:val="24"/>
          <w:szCs w:val="24"/>
          <w:u w:val="single"/>
        </w:rPr>
        <w:t>Single Case Agreements/Network Gap Exceptions</w:t>
      </w:r>
      <w:r w:rsidR="004D098A" w:rsidRPr="00EC69DA">
        <w:rPr>
          <w:rFonts w:ascii="Times New Roman" w:eastAsia="Times New Roman" w:hAnsi="Times New Roman" w:cs="Times New Roman"/>
          <w:b/>
          <w:color w:val="000000"/>
          <w:sz w:val="24"/>
          <w:szCs w:val="24"/>
          <w:u w:val="single"/>
        </w:rPr>
        <w:t xml:space="preserve"> and Negotiations</w:t>
      </w:r>
    </w:p>
    <w:p w14:paraId="0FBF2F98" w14:textId="77777777" w:rsidR="00EC69DA" w:rsidRPr="00801CF6" w:rsidRDefault="00EC69DA" w:rsidP="00255B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AC12BA" w14:textId="3AE4CACD" w:rsidR="00360511" w:rsidRPr="00801CF6" w:rsidRDefault="00360511" w:rsidP="00210757">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Section 15-830(d) sets out the basic requirements with regard to permitting a member to see an out-of-network provider on an in-network basis. </w:t>
      </w:r>
    </w:p>
    <w:p w14:paraId="37B4EB7F" w14:textId="77777777" w:rsidR="00360511" w:rsidRPr="00801CF6" w:rsidRDefault="00360511" w:rsidP="00210757">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p>
    <w:p w14:paraId="16FF6D9B" w14:textId="1764B80B" w:rsidR="00412BA3" w:rsidRDefault="00255BA7" w:rsidP="00210757">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The comparative analysis for the </w:t>
      </w:r>
      <w:r w:rsidR="0069375B" w:rsidRPr="00801CF6">
        <w:rPr>
          <w:rFonts w:ascii="Times New Roman" w:eastAsia="Times New Roman" w:hAnsi="Times New Roman" w:cs="Times New Roman"/>
          <w:color w:val="000000"/>
          <w:sz w:val="24"/>
          <w:szCs w:val="24"/>
        </w:rPr>
        <w:t>Single Case Agreements/Network Gap Exceptions</w:t>
      </w:r>
      <w:r w:rsidRPr="00801CF6">
        <w:rPr>
          <w:rFonts w:ascii="Times New Roman" w:eastAsia="Times New Roman" w:hAnsi="Times New Roman" w:cs="Times New Roman"/>
          <w:color w:val="000000"/>
          <w:sz w:val="24"/>
          <w:szCs w:val="24"/>
        </w:rPr>
        <w:t xml:space="preserve"> </w:t>
      </w:r>
      <w:r w:rsidR="006061D1">
        <w:rPr>
          <w:rFonts w:ascii="Times New Roman" w:eastAsia="Times New Roman" w:hAnsi="Times New Roman" w:cs="Times New Roman"/>
          <w:color w:val="000000"/>
          <w:sz w:val="24"/>
          <w:szCs w:val="24"/>
        </w:rPr>
        <w:t xml:space="preserve">and Negotiations </w:t>
      </w:r>
      <w:r w:rsidRPr="00801CF6">
        <w:rPr>
          <w:rFonts w:ascii="Times New Roman" w:eastAsia="Times New Roman" w:hAnsi="Times New Roman" w:cs="Times New Roman"/>
          <w:color w:val="000000"/>
          <w:sz w:val="24"/>
          <w:szCs w:val="24"/>
        </w:rPr>
        <w:t xml:space="preserve">NQTL </w:t>
      </w:r>
      <w:r w:rsidR="00412BA3" w:rsidRPr="00801CF6">
        <w:rPr>
          <w:rFonts w:ascii="Times New Roman" w:eastAsia="Times New Roman" w:hAnsi="Times New Roman" w:cs="Times New Roman"/>
          <w:color w:val="000000"/>
          <w:sz w:val="24"/>
          <w:szCs w:val="24"/>
        </w:rPr>
        <w:t xml:space="preserve">must </w:t>
      </w:r>
      <w:r w:rsidRPr="00801CF6">
        <w:rPr>
          <w:rFonts w:ascii="Times New Roman" w:eastAsia="Times New Roman" w:hAnsi="Times New Roman" w:cs="Times New Roman"/>
          <w:color w:val="000000"/>
          <w:sz w:val="24"/>
          <w:szCs w:val="24"/>
        </w:rPr>
        <w:t>address</w:t>
      </w:r>
      <w:r w:rsidR="00412BA3" w:rsidRPr="00801CF6">
        <w:rPr>
          <w:rFonts w:ascii="Times New Roman" w:eastAsia="Times New Roman" w:hAnsi="Times New Roman" w:cs="Times New Roman"/>
          <w:color w:val="000000"/>
          <w:sz w:val="24"/>
          <w:szCs w:val="24"/>
        </w:rPr>
        <w:t xml:space="preserve"> the criteria and processes for:</w:t>
      </w:r>
    </w:p>
    <w:p w14:paraId="3EE6334C" w14:textId="77777777" w:rsidR="00094763" w:rsidRPr="00801CF6" w:rsidRDefault="00094763" w:rsidP="00DA13C0">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04311862" w14:textId="0B2762D6" w:rsidR="00FC684A" w:rsidRPr="00801CF6" w:rsidRDefault="00A922F1" w:rsidP="00C51A48">
      <w:pPr>
        <w:pStyle w:val="ListParagraph"/>
        <w:numPr>
          <w:ilvl w:val="0"/>
          <w:numId w:val="2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FC684A" w:rsidRPr="00801CF6">
        <w:rPr>
          <w:rFonts w:ascii="Times New Roman" w:eastAsia="Times New Roman" w:hAnsi="Times New Roman" w:cs="Times New Roman"/>
          <w:color w:val="000000"/>
          <w:sz w:val="24"/>
          <w:szCs w:val="24"/>
        </w:rPr>
        <w:t>he</w:t>
      </w:r>
      <w:r w:rsidR="00F31876" w:rsidRPr="00801CF6">
        <w:rPr>
          <w:rFonts w:ascii="Times New Roman" w:eastAsia="Times New Roman" w:hAnsi="Times New Roman" w:cs="Times New Roman"/>
          <w:color w:val="000000"/>
          <w:sz w:val="24"/>
          <w:szCs w:val="24"/>
        </w:rPr>
        <w:t xml:space="preserve"> </w:t>
      </w:r>
      <w:r w:rsidR="00FC684A" w:rsidRPr="00801CF6">
        <w:rPr>
          <w:rFonts w:ascii="Times New Roman" w:eastAsia="Times New Roman" w:hAnsi="Times New Roman" w:cs="Times New Roman"/>
          <w:color w:val="000000"/>
          <w:sz w:val="24"/>
          <w:szCs w:val="24"/>
        </w:rPr>
        <w:t xml:space="preserve">decision to implement single </w:t>
      </w:r>
      <w:r w:rsidR="00AE4F8F" w:rsidRPr="00801CF6">
        <w:rPr>
          <w:rFonts w:ascii="Times New Roman" w:eastAsia="Times New Roman" w:hAnsi="Times New Roman" w:cs="Times New Roman"/>
          <w:color w:val="000000"/>
          <w:sz w:val="24"/>
          <w:szCs w:val="24"/>
        </w:rPr>
        <w:t>case</w:t>
      </w:r>
      <w:r w:rsidR="00FC684A" w:rsidRPr="00801CF6">
        <w:rPr>
          <w:rFonts w:ascii="Times New Roman" w:eastAsia="Times New Roman" w:hAnsi="Times New Roman" w:cs="Times New Roman"/>
          <w:color w:val="000000"/>
          <w:sz w:val="24"/>
          <w:szCs w:val="24"/>
        </w:rPr>
        <w:t xml:space="preserve"> agreements, the negotiations</w:t>
      </w:r>
      <w:r w:rsidR="00DB0C37" w:rsidRPr="00801CF6">
        <w:rPr>
          <w:rFonts w:ascii="Times New Roman" w:eastAsia="Times New Roman" w:hAnsi="Times New Roman" w:cs="Times New Roman"/>
          <w:color w:val="000000"/>
          <w:sz w:val="24"/>
          <w:szCs w:val="24"/>
        </w:rPr>
        <w:t>,</w:t>
      </w:r>
      <w:r w:rsidR="00FC684A" w:rsidRPr="00801CF6">
        <w:rPr>
          <w:rFonts w:ascii="Times New Roman" w:eastAsia="Times New Roman" w:hAnsi="Times New Roman" w:cs="Times New Roman"/>
          <w:color w:val="000000"/>
          <w:sz w:val="24"/>
          <w:szCs w:val="24"/>
        </w:rPr>
        <w:t xml:space="preserve"> and determination of reimbursement rates for practitioner reimbursement and facility reimbursement under each applicable benefits classification</w:t>
      </w:r>
      <w:r>
        <w:rPr>
          <w:rFonts w:ascii="Times New Roman" w:eastAsia="Times New Roman" w:hAnsi="Times New Roman" w:cs="Times New Roman"/>
          <w:color w:val="000000"/>
          <w:sz w:val="24"/>
          <w:szCs w:val="24"/>
        </w:rPr>
        <w:t xml:space="preserve"> or </w:t>
      </w:r>
      <w:r w:rsidR="00FC684A" w:rsidRPr="00801CF6">
        <w:rPr>
          <w:rFonts w:ascii="Times New Roman" w:eastAsia="Times New Roman" w:hAnsi="Times New Roman" w:cs="Times New Roman"/>
          <w:color w:val="000000"/>
          <w:sz w:val="24"/>
          <w:szCs w:val="24"/>
        </w:rPr>
        <w:t>sub-classification</w:t>
      </w:r>
      <w:r w:rsidR="00EB17DC" w:rsidRPr="00801CF6">
        <w:rPr>
          <w:rFonts w:ascii="Times New Roman" w:eastAsia="Times New Roman" w:hAnsi="Times New Roman" w:cs="Times New Roman"/>
          <w:color w:val="000000"/>
          <w:sz w:val="24"/>
          <w:szCs w:val="24"/>
        </w:rPr>
        <w:t xml:space="preserve"> and the number of working days </w:t>
      </w:r>
      <w:r w:rsidR="002B3C31" w:rsidRPr="00801CF6">
        <w:rPr>
          <w:rFonts w:ascii="Times New Roman" w:eastAsia="Times New Roman" w:hAnsi="Times New Roman" w:cs="Times New Roman"/>
          <w:color w:val="000000"/>
          <w:sz w:val="24"/>
          <w:szCs w:val="24"/>
        </w:rPr>
        <w:t>from the date of the request to the date of an executed agreement</w:t>
      </w:r>
      <w:r w:rsidR="00AE4F8F" w:rsidRPr="00801CF6">
        <w:rPr>
          <w:rFonts w:ascii="Times New Roman" w:eastAsia="Times New Roman" w:hAnsi="Times New Roman" w:cs="Times New Roman"/>
          <w:color w:val="000000"/>
          <w:sz w:val="24"/>
          <w:szCs w:val="24"/>
        </w:rPr>
        <w:t>;</w:t>
      </w:r>
      <w:r w:rsidR="00FC684A" w:rsidRPr="00801CF6">
        <w:rPr>
          <w:rFonts w:ascii="Times New Roman" w:eastAsia="Times New Roman" w:hAnsi="Times New Roman" w:cs="Times New Roman"/>
          <w:color w:val="000000"/>
          <w:sz w:val="24"/>
          <w:szCs w:val="24"/>
        </w:rPr>
        <w:t xml:space="preserve"> </w:t>
      </w:r>
    </w:p>
    <w:p w14:paraId="3F906463" w14:textId="4F7DC556" w:rsidR="00360511" w:rsidRPr="00801CF6" w:rsidRDefault="00A922F1" w:rsidP="00C51A48">
      <w:pPr>
        <w:pStyle w:val="ListParagraph"/>
        <w:numPr>
          <w:ilvl w:val="0"/>
          <w:numId w:val="2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360511" w:rsidRPr="00801CF6">
        <w:rPr>
          <w:rFonts w:ascii="Times New Roman" w:eastAsia="Times New Roman" w:hAnsi="Times New Roman" w:cs="Times New Roman"/>
          <w:color w:val="000000"/>
          <w:sz w:val="24"/>
          <w:szCs w:val="24"/>
        </w:rPr>
        <w:t>he member or provider to make a request to see an out-of-network provider pursuant to § 15-830(d);</w:t>
      </w:r>
    </w:p>
    <w:p w14:paraId="38495C6F" w14:textId="56D4851D" w:rsidR="007D5EA0" w:rsidRPr="00801CF6" w:rsidRDefault="00A922F1" w:rsidP="00C51A48">
      <w:pPr>
        <w:pStyle w:val="ListParagraph"/>
        <w:numPr>
          <w:ilvl w:val="0"/>
          <w:numId w:val="2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C3630D" w:rsidRPr="00801CF6">
        <w:rPr>
          <w:rFonts w:ascii="Times New Roman" w:eastAsia="Times New Roman" w:hAnsi="Times New Roman" w:cs="Times New Roman"/>
          <w:color w:val="000000"/>
          <w:sz w:val="24"/>
          <w:szCs w:val="24"/>
        </w:rPr>
        <w:t>etermining w</w:t>
      </w:r>
      <w:r w:rsidR="007D5EA0" w:rsidRPr="00801CF6">
        <w:rPr>
          <w:rFonts w:ascii="Times New Roman" w:eastAsia="Times New Roman" w:hAnsi="Times New Roman" w:cs="Times New Roman"/>
          <w:color w:val="000000"/>
          <w:sz w:val="24"/>
          <w:szCs w:val="24"/>
        </w:rPr>
        <w:t>ho negotiates the agreement and who is consulted in the negotiations</w:t>
      </w:r>
      <w:r w:rsidR="00952820">
        <w:rPr>
          <w:rFonts w:ascii="Times New Roman" w:eastAsia="Times New Roman" w:hAnsi="Times New Roman" w:cs="Times New Roman"/>
          <w:color w:val="000000"/>
          <w:sz w:val="24"/>
          <w:szCs w:val="24"/>
        </w:rPr>
        <w:t xml:space="preserve"> (including the member or patient)</w:t>
      </w:r>
      <w:r w:rsidR="007D5EA0" w:rsidRPr="00801CF6">
        <w:rPr>
          <w:rFonts w:ascii="Times New Roman" w:eastAsia="Times New Roman" w:hAnsi="Times New Roman" w:cs="Times New Roman"/>
          <w:color w:val="000000"/>
          <w:sz w:val="24"/>
          <w:szCs w:val="24"/>
        </w:rPr>
        <w:t>;</w:t>
      </w:r>
    </w:p>
    <w:p w14:paraId="2316A0FA" w14:textId="62D22B13" w:rsidR="002741B5" w:rsidRPr="00801CF6" w:rsidRDefault="00A922F1" w:rsidP="00C51A48">
      <w:pPr>
        <w:pStyle w:val="ListParagraph"/>
        <w:numPr>
          <w:ilvl w:val="0"/>
          <w:numId w:val="2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360511" w:rsidRPr="00801CF6">
        <w:rPr>
          <w:rFonts w:ascii="Times New Roman" w:eastAsia="Times New Roman" w:hAnsi="Times New Roman" w:cs="Times New Roman"/>
          <w:color w:val="000000"/>
          <w:sz w:val="24"/>
          <w:szCs w:val="24"/>
        </w:rPr>
        <w:t>he carrier’s internal criteria to determine if the member meets the requirements of § 15-830(d), including how the carrier determines whether there is a provider within the network</w:t>
      </w:r>
      <w:r w:rsidR="00C11FB6">
        <w:rPr>
          <w:rFonts w:ascii="Times New Roman" w:eastAsia="Times New Roman" w:hAnsi="Times New Roman" w:cs="Times New Roman"/>
          <w:color w:val="000000"/>
          <w:sz w:val="24"/>
          <w:szCs w:val="24"/>
        </w:rPr>
        <w:t xml:space="preserve"> capable of providing the treatment requested</w:t>
      </w:r>
      <w:r w:rsidR="007D5EA0" w:rsidRPr="00801CF6">
        <w:rPr>
          <w:rFonts w:ascii="Times New Roman" w:eastAsia="Times New Roman" w:hAnsi="Times New Roman" w:cs="Times New Roman"/>
          <w:color w:val="000000"/>
          <w:sz w:val="24"/>
          <w:szCs w:val="24"/>
        </w:rPr>
        <w:t>;</w:t>
      </w:r>
      <w:r w:rsidR="002741B5" w:rsidRPr="00801CF6">
        <w:rPr>
          <w:rFonts w:ascii="Times New Roman" w:eastAsia="Times New Roman" w:hAnsi="Times New Roman" w:cs="Times New Roman"/>
          <w:color w:val="000000"/>
          <w:sz w:val="24"/>
          <w:szCs w:val="24"/>
        </w:rPr>
        <w:t xml:space="preserve"> </w:t>
      </w:r>
    </w:p>
    <w:p w14:paraId="1B0E6DD1" w14:textId="04AE822E" w:rsidR="00EB17DC" w:rsidRPr="00EC69DA" w:rsidRDefault="00A922F1" w:rsidP="00C51A48">
      <w:pPr>
        <w:pStyle w:val="ListParagraph"/>
        <w:numPr>
          <w:ilvl w:val="0"/>
          <w:numId w:val="22"/>
        </w:numPr>
        <w:pBdr>
          <w:top w:val="nil"/>
          <w:left w:val="nil"/>
          <w:bottom w:val="nil"/>
          <w:right w:val="nil"/>
          <w:between w:val="nil"/>
        </w:pBdr>
        <w:spacing w:after="0"/>
        <w:ind w:left="1080"/>
        <w:rPr>
          <w:rFonts w:ascii="Times New Roman" w:hAnsi="Times New Roman" w:cs="Times New Roman"/>
          <w:sz w:val="24"/>
          <w:szCs w:val="24"/>
        </w:rPr>
      </w:pPr>
      <w:r>
        <w:rPr>
          <w:rFonts w:ascii="Times New Roman" w:eastAsia="Times New Roman" w:hAnsi="Times New Roman" w:cs="Times New Roman"/>
          <w:color w:val="000000"/>
          <w:sz w:val="24"/>
          <w:szCs w:val="24"/>
        </w:rPr>
        <w:t>D</w:t>
      </w:r>
      <w:r w:rsidR="00360511" w:rsidRPr="00801CF6">
        <w:rPr>
          <w:rFonts w:ascii="Times New Roman" w:eastAsia="Times New Roman" w:hAnsi="Times New Roman" w:cs="Times New Roman"/>
          <w:color w:val="000000"/>
          <w:sz w:val="24"/>
          <w:szCs w:val="24"/>
        </w:rPr>
        <w:t>etermining whether a re</w:t>
      </w:r>
      <w:r>
        <w:rPr>
          <w:rFonts w:ascii="Times New Roman" w:eastAsia="Times New Roman" w:hAnsi="Times New Roman" w:cs="Times New Roman"/>
          <w:color w:val="000000"/>
          <w:sz w:val="24"/>
          <w:szCs w:val="24"/>
        </w:rPr>
        <w:t>quested provider is appropriate</w:t>
      </w:r>
      <w:r w:rsidR="00360511" w:rsidRPr="00801CF6">
        <w:rPr>
          <w:rFonts w:ascii="Times New Roman" w:eastAsia="Times New Roman" w:hAnsi="Times New Roman" w:cs="Times New Roman"/>
          <w:color w:val="000000"/>
          <w:sz w:val="24"/>
          <w:szCs w:val="24"/>
        </w:rPr>
        <w:t xml:space="preserve"> or assisting the member in finding a provider;</w:t>
      </w:r>
      <w:r w:rsidR="00094763">
        <w:rPr>
          <w:rFonts w:ascii="Times New Roman" w:eastAsia="Times New Roman" w:hAnsi="Times New Roman" w:cs="Times New Roman"/>
          <w:color w:val="000000"/>
          <w:sz w:val="24"/>
          <w:szCs w:val="24"/>
        </w:rPr>
        <w:t xml:space="preserve"> and</w:t>
      </w:r>
    </w:p>
    <w:p w14:paraId="200F467D" w14:textId="6F60A19E" w:rsidR="00410334" w:rsidRPr="00EC69DA" w:rsidRDefault="00A922F1" w:rsidP="00C51A48">
      <w:pPr>
        <w:pStyle w:val="ListParagraph"/>
        <w:numPr>
          <w:ilvl w:val="0"/>
          <w:numId w:val="22"/>
        </w:numPr>
        <w:pBdr>
          <w:top w:val="nil"/>
          <w:left w:val="nil"/>
          <w:bottom w:val="nil"/>
          <w:right w:val="nil"/>
          <w:between w:val="nil"/>
        </w:pBdr>
        <w:spacing w:after="0"/>
        <w:ind w:left="1080"/>
        <w:rPr>
          <w:rFonts w:ascii="Times New Roman" w:hAnsi="Times New Roman" w:cs="Times New Roman"/>
          <w:sz w:val="24"/>
          <w:szCs w:val="24"/>
        </w:rPr>
      </w:pPr>
      <w:r>
        <w:rPr>
          <w:rFonts w:ascii="Times New Roman" w:hAnsi="Times New Roman" w:cs="Times New Roman"/>
          <w:sz w:val="24"/>
          <w:szCs w:val="24"/>
        </w:rPr>
        <w:t>D</w:t>
      </w:r>
      <w:r w:rsidR="00410334" w:rsidRPr="00EC69DA">
        <w:rPr>
          <w:rFonts w:ascii="Times New Roman" w:hAnsi="Times New Roman" w:cs="Times New Roman"/>
          <w:sz w:val="24"/>
          <w:szCs w:val="24"/>
        </w:rPr>
        <w:t>etermining the scope of services and the duration of the agreement.</w:t>
      </w:r>
    </w:p>
    <w:p w14:paraId="48642B39" w14:textId="24E5B576" w:rsidR="00FC684A" w:rsidRPr="00094763" w:rsidRDefault="00FC684A" w:rsidP="00094763">
      <w:pPr>
        <w:pStyle w:val="ListParagraph"/>
        <w:pBdr>
          <w:top w:val="nil"/>
          <w:left w:val="nil"/>
          <w:bottom w:val="nil"/>
          <w:right w:val="nil"/>
          <w:between w:val="nil"/>
        </w:pBdr>
        <w:spacing w:after="0"/>
        <w:ind w:left="1440" w:right="-1260" w:firstLine="0"/>
        <w:rPr>
          <w:rFonts w:ascii="Times New Roman" w:eastAsia="Times New Roman" w:hAnsi="Times New Roman" w:cs="Times New Roman"/>
          <w:color w:val="000000"/>
          <w:sz w:val="24"/>
          <w:szCs w:val="24"/>
        </w:rPr>
      </w:pPr>
    </w:p>
    <w:p w14:paraId="0022A394" w14:textId="4C5F4583" w:rsidR="00094763" w:rsidRDefault="00815AC6" w:rsidP="00C51A48">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Carrier responses must include consideration of any Maryland laws that establish specific </w:t>
      </w:r>
      <w:r w:rsidR="00C11FB6">
        <w:rPr>
          <w:rFonts w:ascii="Times New Roman" w:eastAsia="Times New Roman" w:hAnsi="Times New Roman" w:cs="Times New Roman"/>
          <w:color w:val="000000"/>
          <w:sz w:val="24"/>
          <w:szCs w:val="24"/>
        </w:rPr>
        <w:t xml:space="preserve">reimbursement </w:t>
      </w:r>
      <w:r w:rsidRPr="00801CF6">
        <w:rPr>
          <w:rFonts w:ascii="Times New Roman" w:eastAsia="Times New Roman" w:hAnsi="Times New Roman" w:cs="Times New Roman"/>
          <w:color w:val="000000"/>
          <w:sz w:val="24"/>
          <w:szCs w:val="24"/>
        </w:rPr>
        <w:t xml:space="preserve">rate methodologies for particular services or providers (i.e., §§ 14-205.2 and 15-604 of the Insurance Article and §§ 19-710(e) and 19-710.1 of the Health-General Article).  The existence of a statutorily required reimbursement methodology for certain provider types within a benefit classification does  not obviate the need for a comparative analysis for that benefit classification </w:t>
      </w:r>
      <w:r w:rsidR="00AE4F8F" w:rsidRPr="00801CF6">
        <w:rPr>
          <w:rFonts w:ascii="Times New Roman" w:eastAsia="Times New Roman" w:hAnsi="Times New Roman" w:cs="Times New Roman"/>
          <w:color w:val="000000"/>
          <w:sz w:val="24"/>
          <w:szCs w:val="24"/>
        </w:rPr>
        <w:t>because</w:t>
      </w:r>
      <w:r w:rsidRPr="00801CF6">
        <w:rPr>
          <w:rFonts w:ascii="Times New Roman" w:eastAsia="Times New Roman" w:hAnsi="Times New Roman" w:cs="Times New Roman"/>
          <w:color w:val="000000"/>
          <w:sz w:val="24"/>
          <w:szCs w:val="24"/>
        </w:rPr>
        <w:t xml:space="preserve"> the Maryland laws do not apply to all providers and services.  However, </w:t>
      </w:r>
      <w:r w:rsidRPr="00801CF6">
        <w:rPr>
          <w:rFonts w:ascii="Times New Roman" w:eastAsia="Times New Roman" w:hAnsi="Times New Roman" w:cs="Times New Roman"/>
          <w:color w:val="000000"/>
          <w:sz w:val="24"/>
          <w:szCs w:val="24"/>
        </w:rPr>
        <w:lastRenderedPageBreak/>
        <w:t>the focus of the comparative analyses in these cases should be on the providers and services not subject to the applicable law.</w:t>
      </w:r>
      <w:r w:rsidR="00094763">
        <w:rPr>
          <w:rFonts w:ascii="Times New Roman" w:eastAsia="Times New Roman" w:hAnsi="Times New Roman" w:cs="Times New Roman"/>
          <w:color w:val="000000"/>
          <w:sz w:val="24"/>
          <w:szCs w:val="24"/>
        </w:rPr>
        <w:t xml:space="preserve"> </w:t>
      </w:r>
    </w:p>
    <w:p w14:paraId="7A5E7AF9" w14:textId="77777777" w:rsidR="00094763" w:rsidRDefault="00094763" w:rsidP="00C51A48">
      <w:pPr>
        <w:pBdr>
          <w:top w:val="nil"/>
          <w:left w:val="nil"/>
          <w:bottom w:val="nil"/>
          <w:right w:val="nil"/>
          <w:between w:val="nil"/>
        </w:pBdr>
        <w:spacing w:after="0"/>
        <w:ind w:left="360" w:right="-1170" w:firstLine="0"/>
        <w:rPr>
          <w:rFonts w:ascii="Times New Roman" w:eastAsia="Times New Roman" w:hAnsi="Times New Roman" w:cs="Times New Roman"/>
          <w:color w:val="000000"/>
          <w:sz w:val="24"/>
          <w:szCs w:val="24"/>
        </w:rPr>
      </w:pPr>
    </w:p>
    <w:p w14:paraId="6B373506" w14:textId="7DFAA06E" w:rsidR="00094763" w:rsidRPr="00801CF6" w:rsidRDefault="00094763" w:rsidP="00C51A48">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 2 must be submitted to support the in</w:t>
      </w:r>
      <w:r w:rsidR="00BA6F0D">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operation comparative analysis under Step 5 for the Single Case Agreements/Network Gap Exceptions</w:t>
      </w:r>
      <w:r w:rsidRPr="00801CF6" w:rsidDel="00F149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Negotiations </w:t>
      </w:r>
      <w:r w:rsidRPr="00801CF6">
        <w:rPr>
          <w:rFonts w:ascii="Times New Roman" w:eastAsia="Times New Roman" w:hAnsi="Times New Roman" w:cs="Times New Roman"/>
          <w:color w:val="000000"/>
          <w:sz w:val="24"/>
          <w:szCs w:val="24"/>
        </w:rPr>
        <w:t>NQTL.</w:t>
      </w:r>
    </w:p>
    <w:p w14:paraId="6DA79B0D" w14:textId="77777777" w:rsidR="00815AC6" w:rsidRPr="00801CF6" w:rsidRDefault="00815AC6" w:rsidP="00412BA3">
      <w:pPr>
        <w:pBdr>
          <w:top w:val="nil"/>
          <w:left w:val="nil"/>
          <w:bottom w:val="nil"/>
          <w:right w:val="nil"/>
          <w:between w:val="nil"/>
        </w:pBdr>
        <w:spacing w:after="0"/>
        <w:ind w:left="360" w:firstLine="0"/>
        <w:jc w:val="left"/>
        <w:rPr>
          <w:rFonts w:ascii="Times New Roman" w:eastAsia="Times New Roman" w:hAnsi="Times New Roman" w:cs="Times New Roman"/>
          <w:color w:val="000000"/>
          <w:sz w:val="24"/>
          <w:szCs w:val="24"/>
        </w:rPr>
      </w:pPr>
    </w:p>
    <w:p w14:paraId="1E192C5D" w14:textId="208B74F5" w:rsidR="00BC41B6" w:rsidRPr="00E90571" w:rsidRDefault="00911EBD" w:rsidP="00210757">
      <w:pPr>
        <w:pBdr>
          <w:top w:val="nil"/>
          <w:left w:val="nil"/>
          <w:bottom w:val="nil"/>
          <w:right w:val="nil"/>
          <w:between w:val="nil"/>
        </w:pBdr>
        <w:spacing w:after="0" w:line="240" w:lineRule="auto"/>
        <w:ind w:left="0" w:firstLine="0"/>
        <w:rPr>
          <w:rFonts w:ascii="Times New Roman" w:eastAsia="Times New Roman" w:hAnsi="Times New Roman" w:cs="Times New Roman"/>
          <w:b/>
          <w:color w:val="000000"/>
          <w:sz w:val="24"/>
          <w:szCs w:val="24"/>
          <w:u w:val="single"/>
        </w:rPr>
      </w:pPr>
      <w:r w:rsidRPr="00E90571">
        <w:rPr>
          <w:rFonts w:ascii="Times New Roman" w:eastAsia="Times New Roman" w:hAnsi="Times New Roman" w:cs="Times New Roman"/>
          <w:b/>
          <w:bCs/>
          <w:color w:val="000000"/>
          <w:sz w:val="24"/>
          <w:szCs w:val="24"/>
          <w:u w:val="single"/>
        </w:rPr>
        <w:t>NQTL 3</w:t>
      </w:r>
      <w:r w:rsidR="00E90571">
        <w:rPr>
          <w:rFonts w:ascii="Times New Roman" w:eastAsia="Times New Roman" w:hAnsi="Times New Roman" w:cs="Times New Roman"/>
          <w:b/>
          <w:bCs/>
          <w:color w:val="000000"/>
          <w:sz w:val="24"/>
          <w:szCs w:val="24"/>
          <w:u w:val="single"/>
        </w:rPr>
        <w:t>:</w:t>
      </w:r>
      <w:r w:rsidRPr="00E90571">
        <w:rPr>
          <w:rFonts w:ascii="Times New Roman" w:eastAsia="Times New Roman" w:hAnsi="Times New Roman" w:cs="Times New Roman"/>
          <w:b/>
          <w:color w:val="000000"/>
          <w:sz w:val="24"/>
          <w:szCs w:val="24"/>
          <w:u w:val="single"/>
        </w:rPr>
        <w:t xml:space="preserve"> </w:t>
      </w:r>
      <w:r w:rsidR="00302DDE">
        <w:rPr>
          <w:rFonts w:ascii="Times New Roman" w:eastAsia="Times New Roman" w:hAnsi="Times New Roman" w:cs="Times New Roman"/>
          <w:b/>
          <w:color w:val="000000"/>
          <w:sz w:val="24"/>
          <w:szCs w:val="24"/>
          <w:u w:val="single"/>
        </w:rPr>
        <w:t xml:space="preserve">Coverage of </w:t>
      </w:r>
      <w:r w:rsidRPr="00E90571">
        <w:rPr>
          <w:rFonts w:ascii="Times New Roman" w:eastAsia="Times New Roman" w:hAnsi="Times New Roman" w:cs="Times New Roman"/>
          <w:b/>
          <w:color w:val="000000"/>
          <w:sz w:val="24"/>
          <w:szCs w:val="24"/>
          <w:u w:val="single"/>
        </w:rPr>
        <w:t>Cris</w:t>
      </w:r>
      <w:r w:rsidR="00714802">
        <w:rPr>
          <w:rFonts w:ascii="Times New Roman" w:eastAsia="Times New Roman" w:hAnsi="Times New Roman" w:cs="Times New Roman"/>
          <w:b/>
          <w:color w:val="000000"/>
          <w:sz w:val="24"/>
          <w:szCs w:val="24"/>
          <w:u w:val="single"/>
        </w:rPr>
        <w:t>i</w:t>
      </w:r>
      <w:r w:rsidRPr="00E90571">
        <w:rPr>
          <w:rFonts w:ascii="Times New Roman" w:eastAsia="Times New Roman" w:hAnsi="Times New Roman" w:cs="Times New Roman"/>
          <w:b/>
          <w:color w:val="000000"/>
          <w:sz w:val="24"/>
          <w:szCs w:val="24"/>
          <w:u w:val="single"/>
        </w:rPr>
        <w:t>s and Emergency Services</w:t>
      </w:r>
    </w:p>
    <w:p w14:paraId="780E47EE" w14:textId="3ECF860C" w:rsidR="00615453" w:rsidRDefault="003963B9" w:rsidP="00210757">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r w:rsidRPr="00E23BB7">
        <w:rPr>
          <w:rFonts w:ascii="Times New Roman" w:eastAsia="Times New Roman" w:hAnsi="Times New Roman" w:cs="Times New Roman"/>
          <w:color w:val="000000"/>
          <w:sz w:val="24"/>
          <w:szCs w:val="24"/>
        </w:rPr>
        <w:t>Carriers are required to explain the development of definitions, criteria, policies, auto</w:t>
      </w:r>
      <w:r w:rsidR="005D4077">
        <w:rPr>
          <w:rFonts w:ascii="Times New Roman" w:eastAsia="Times New Roman" w:hAnsi="Times New Roman" w:cs="Times New Roman"/>
          <w:color w:val="000000"/>
          <w:sz w:val="24"/>
          <w:szCs w:val="24"/>
        </w:rPr>
        <w:t>-</w:t>
      </w:r>
      <w:r w:rsidRPr="00E23BB7">
        <w:rPr>
          <w:rFonts w:ascii="Times New Roman" w:eastAsia="Times New Roman" w:hAnsi="Times New Roman" w:cs="Times New Roman"/>
          <w:color w:val="000000"/>
          <w:sz w:val="24"/>
          <w:szCs w:val="24"/>
        </w:rPr>
        <w:t xml:space="preserve">pay lists, and procedures that are used to evaluate claims to determine if the services meet the definition of </w:t>
      </w:r>
      <w:r w:rsidR="00615453">
        <w:rPr>
          <w:rFonts w:ascii="Times New Roman" w:eastAsia="Times New Roman" w:hAnsi="Times New Roman" w:cs="Times New Roman"/>
          <w:color w:val="000000"/>
          <w:sz w:val="24"/>
          <w:szCs w:val="24"/>
        </w:rPr>
        <w:t xml:space="preserve">crisis and </w:t>
      </w:r>
      <w:r w:rsidRPr="00E23BB7">
        <w:rPr>
          <w:rFonts w:ascii="Times New Roman" w:eastAsia="Times New Roman" w:hAnsi="Times New Roman" w:cs="Times New Roman"/>
          <w:color w:val="000000"/>
          <w:sz w:val="24"/>
          <w:szCs w:val="24"/>
        </w:rPr>
        <w:t>emergency services, and whether use of crisis or emergency services is medically necessary, appropriate, or efficient for particular diagnoses or patient condition</w:t>
      </w:r>
      <w:r w:rsidR="00651FCB" w:rsidRPr="00E23BB7">
        <w:rPr>
          <w:rFonts w:ascii="Times New Roman" w:eastAsia="Times New Roman" w:hAnsi="Times New Roman" w:cs="Times New Roman"/>
          <w:color w:val="000000"/>
          <w:sz w:val="24"/>
          <w:szCs w:val="24"/>
        </w:rPr>
        <w:t>s</w:t>
      </w:r>
      <w:r w:rsidRPr="00E23BB7">
        <w:rPr>
          <w:rFonts w:ascii="Times New Roman" w:eastAsia="Times New Roman" w:hAnsi="Times New Roman" w:cs="Times New Roman"/>
          <w:color w:val="000000"/>
          <w:sz w:val="24"/>
          <w:szCs w:val="24"/>
        </w:rPr>
        <w:t xml:space="preserve">. Examples include how a carrier determines that a patient is a danger to self or others. </w:t>
      </w:r>
    </w:p>
    <w:p w14:paraId="55BC8F57" w14:textId="77777777" w:rsidR="00615453" w:rsidRDefault="00615453" w:rsidP="00210757">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p>
    <w:p w14:paraId="4F8789E5" w14:textId="5591BD99" w:rsidR="003963B9" w:rsidRPr="00E23BB7" w:rsidRDefault="003963B9" w:rsidP="00210757">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r w:rsidRPr="00E23BB7">
        <w:rPr>
          <w:rFonts w:ascii="Times New Roman" w:eastAsia="Times New Roman" w:hAnsi="Times New Roman" w:cs="Times New Roman"/>
          <w:color w:val="000000"/>
          <w:sz w:val="24"/>
          <w:szCs w:val="24"/>
        </w:rPr>
        <w:t>Carriers should address how claims are evaluated to determine whether services were emergency services for which prior authorization is not required, or if prior authorization should have been obtained</w:t>
      </w:r>
      <w:r w:rsidR="00615453">
        <w:rPr>
          <w:rFonts w:ascii="Times New Roman" w:eastAsia="Times New Roman" w:hAnsi="Times New Roman" w:cs="Times New Roman"/>
          <w:color w:val="000000"/>
          <w:sz w:val="24"/>
          <w:szCs w:val="24"/>
        </w:rPr>
        <w:t xml:space="preserve"> and</w:t>
      </w:r>
      <w:r w:rsidR="00E90571" w:rsidRPr="00E23BB7">
        <w:rPr>
          <w:rFonts w:ascii="Times New Roman" w:eastAsia="Times New Roman" w:hAnsi="Times New Roman" w:cs="Times New Roman"/>
          <w:color w:val="000000"/>
          <w:sz w:val="24"/>
          <w:szCs w:val="24"/>
        </w:rPr>
        <w:t xml:space="preserve"> how it would have been obtained</w:t>
      </w:r>
      <w:r w:rsidRPr="00E23BB7">
        <w:rPr>
          <w:rFonts w:ascii="Times New Roman" w:eastAsia="Times New Roman" w:hAnsi="Times New Roman" w:cs="Times New Roman"/>
          <w:color w:val="000000"/>
          <w:sz w:val="24"/>
          <w:szCs w:val="24"/>
        </w:rPr>
        <w:t xml:space="preserve">. </w:t>
      </w:r>
    </w:p>
    <w:p w14:paraId="0FC348BF" w14:textId="77777777" w:rsidR="003963B9" w:rsidRPr="00E23BB7" w:rsidRDefault="003963B9" w:rsidP="00210757">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p>
    <w:p w14:paraId="7BE58DBB" w14:textId="32FDA01F" w:rsidR="00B25F82" w:rsidRPr="00E23BB7" w:rsidRDefault="00B25F82" w:rsidP="00210757">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r w:rsidRPr="00E23BB7">
        <w:rPr>
          <w:rFonts w:ascii="Times New Roman" w:eastAsia="Times New Roman" w:hAnsi="Times New Roman" w:cs="Times New Roman"/>
          <w:color w:val="000000"/>
          <w:sz w:val="24"/>
          <w:szCs w:val="24"/>
        </w:rPr>
        <w:t xml:space="preserve">Carriers are required to </w:t>
      </w:r>
      <w:r w:rsidR="003963B9" w:rsidRPr="00E23BB7">
        <w:rPr>
          <w:rFonts w:ascii="Times New Roman" w:eastAsia="Times New Roman" w:hAnsi="Times New Roman" w:cs="Times New Roman"/>
          <w:color w:val="000000"/>
          <w:sz w:val="24"/>
          <w:szCs w:val="24"/>
        </w:rPr>
        <w:t xml:space="preserve">address the types of providers considered to be providers of </w:t>
      </w:r>
      <w:r w:rsidR="00F20EBC">
        <w:rPr>
          <w:rFonts w:ascii="Times New Roman" w:eastAsia="Times New Roman" w:hAnsi="Times New Roman" w:cs="Times New Roman"/>
          <w:color w:val="000000"/>
          <w:sz w:val="24"/>
          <w:szCs w:val="24"/>
        </w:rPr>
        <w:t xml:space="preserve">crisis or </w:t>
      </w:r>
      <w:r w:rsidR="003963B9" w:rsidRPr="00E23BB7">
        <w:rPr>
          <w:rFonts w:ascii="Times New Roman" w:eastAsia="Times New Roman" w:hAnsi="Times New Roman" w:cs="Times New Roman"/>
          <w:color w:val="000000"/>
          <w:sz w:val="24"/>
          <w:szCs w:val="24"/>
        </w:rPr>
        <w:t>emergency services, and to</w:t>
      </w:r>
      <w:r w:rsidRPr="00E23BB7">
        <w:rPr>
          <w:rFonts w:ascii="Times New Roman" w:eastAsia="Times New Roman" w:hAnsi="Times New Roman" w:cs="Times New Roman"/>
          <w:color w:val="000000"/>
          <w:sz w:val="24"/>
          <w:szCs w:val="24"/>
        </w:rPr>
        <w:t xml:space="preserve"> describe the </w:t>
      </w:r>
      <w:r w:rsidR="00F20EBC">
        <w:rPr>
          <w:rFonts w:ascii="Times New Roman" w:eastAsia="Times New Roman" w:hAnsi="Times New Roman" w:cs="Times New Roman"/>
          <w:color w:val="000000"/>
          <w:sz w:val="24"/>
          <w:szCs w:val="24"/>
        </w:rPr>
        <w:t>c</w:t>
      </w:r>
      <w:r w:rsidRPr="00E23BB7">
        <w:rPr>
          <w:rFonts w:ascii="Times New Roman" w:eastAsia="Times New Roman" w:hAnsi="Times New Roman" w:cs="Times New Roman"/>
          <w:color w:val="000000"/>
          <w:sz w:val="24"/>
          <w:szCs w:val="24"/>
        </w:rPr>
        <w:t>arrier’s coverage of the following service types</w:t>
      </w:r>
      <w:r w:rsidR="00261AF4" w:rsidRPr="00E23BB7">
        <w:rPr>
          <w:rFonts w:ascii="Times New Roman" w:eastAsia="Times New Roman" w:hAnsi="Times New Roman" w:cs="Times New Roman"/>
          <w:color w:val="000000"/>
          <w:sz w:val="24"/>
          <w:szCs w:val="24"/>
        </w:rPr>
        <w:t xml:space="preserve"> </w:t>
      </w:r>
      <w:r w:rsidR="00B122C9" w:rsidRPr="00E23BB7">
        <w:rPr>
          <w:rFonts w:ascii="Times New Roman" w:eastAsia="Times New Roman" w:hAnsi="Times New Roman" w:cs="Times New Roman"/>
          <w:color w:val="000000"/>
          <w:sz w:val="24"/>
          <w:szCs w:val="24"/>
        </w:rPr>
        <w:t>(</w:t>
      </w:r>
      <w:r w:rsidR="00261AF4" w:rsidRPr="00E23BB7">
        <w:rPr>
          <w:rFonts w:ascii="Times New Roman" w:eastAsia="Times New Roman" w:hAnsi="Times New Roman" w:cs="Times New Roman"/>
          <w:color w:val="000000"/>
          <w:sz w:val="24"/>
          <w:szCs w:val="24"/>
        </w:rPr>
        <w:t xml:space="preserve">as defined in </w:t>
      </w:r>
      <w:r w:rsidR="005D4077">
        <w:rPr>
          <w:rFonts w:ascii="Times New Roman" w:eastAsia="Times New Roman" w:hAnsi="Times New Roman" w:cs="Times New Roman"/>
          <w:color w:val="000000"/>
          <w:sz w:val="24"/>
          <w:szCs w:val="24"/>
        </w:rPr>
        <w:t>Data Supplement 3</w:t>
      </w:r>
      <w:r w:rsidR="00B122C9" w:rsidRPr="00E23BB7">
        <w:rPr>
          <w:rFonts w:ascii="Times New Roman" w:eastAsia="Times New Roman" w:hAnsi="Times New Roman" w:cs="Times New Roman"/>
          <w:color w:val="000000"/>
          <w:sz w:val="24"/>
          <w:szCs w:val="24"/>
        </w:rPr>
        <w:t>)</w:t>
      </w:r>
      <w:r w:rsidR="007825FC" w:rsidRPr="00E23BB7">
        <w:rPr>
          <w:rFonts w:ascii="Times New Roman" w:eastAsia="Times New Roman" w:hAnsi="Times New Roman" w:cs="Times New Roman"/>
          <w:color w:val="000000"/>
          <w:sz w:val="24"/>
          <w:szCs w:val="24"/>
        </w:rPr>
        <w:t>:</w:t>
      </w:r>
    </w:p>
    <w:p w14:paraId="307B35D9" w14:textId="77777777" w:rsidR="00B25F82" w:rsidRPr="00E23BB7" w:rsidRDefault="00B25F82" w:rsidP="00B25F82">
      <w:pPr>
        <w:pBdr>
          <w:top w:val="nil"/>
          <w:left w:val="nil"/>
          <w:bottom w:val="nil"/>
          <w:right w:val="nil"/>
          <w:between w:val="nil"/>
        </w:pBdr>
        <w:spacing w:after="0" w:line="240" w:lineRule="auto"/>
        <w:ind w:firstLine="0"/>
        <w:rPr>
          <w:rFonts w:ascii="Times New Roman" w:eastAsia="Times New Roman" w:hAnsi="Times New Roman" w:cs="Times New Roman"/>
          <w:color w:val="000000"/>
          <w:sz w:val="24"/>
          <w:szCs w:val="24"/>
        </w:rPr>
      </w:pPr>
    </w:p>
    <w:p w14:paraId="17E2D135" w14:textId="438862B8" w:rsidR="00F20EBC" w:rsidRDefault="005D4077" w:rsidP="00F20EBC">
      <w:pPr>
        <w:pStyle w:val="ListParagraph"/>
        <w:numPr>
          <w:ilvl w:val="0"/>
          <w:numId w:val="25"/>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MH/SUD </w:t>
      </w:r>
      <w:r w:rsidR="00F20EBC" w:rsidRPr="00E23BB7">
        <w:rPr>
          <w:rFonts w:ascii="Times New Roman" w:eastAsia="Times New Roman" w:hAnsi="Times New Roman" w:cs="Times New Roman"/>
          <w:color w:val="000000"/>
          <w:sz w:val="24"/>
          <w:szCs w:val="24"/>
        </w:rPr>
        <w:t xml:space="preserve">24-Hour Crisis: Residential </w:t>
      </w:r>
      <w:r w:rsidR="00BA6F0D">
        <w:rPr>
          <w:rFonts w:ascii="Times New Roman" w:eastAsia="Times New Roman" w:hAnsi="Times New Roman" w:cs="Times New Roman"/>
          <w:color w:val="000000"/>
          <w:sz w:val="24"/>
          <w:szCs w:val="24"/>
        </w:rPr>
        <w:t xml:space="preserve">Facility </w:t>
      </w:r>
      <w:r w:rsidR="00F20EBC" w:rsidRPr="00E23BB7">
        <w:rPr>
          <w:rFonts w:ascii="Times New Roman" w:eastAsia="Times New Roman" w:hAnsi="Times New Roman" w:cs="Times New Roman"/>
          <w:color w:val="000000"/>
          <w:sz w:val="24"/>
          <w:szCs w:val="24"/>
        </w:rPr>
        <w:t>(sub-acute inpatient)</w:t>
      </w:r>
      <w:r w:rsidR="00F20EBC">
        <w:rPr>
          <w:rFonts w:ascii="Times New Roman" w:eastAsia="Times New Roman" w:hAnsi="Times New Roman" w:cs="Times New Roman"/>
          <w:color w:val="000000"/>
          <w:sz w:val="24"/>
          <w:szCs w:val="24"/>
        </w:rPr>
        <w:t>;</w:t>
      </w:r>
      <w:r w:rsidR="00F20EBC" w:rsidRPr="00F20EBC">
        <w:rPr>
          <w:rFonts w:ascii="Times New Roman" w:eastAsia="Times New Roman" w:hAnsi="Times New Roman" w:cs="Times New Roman"/>
          <w:color w:val="000000"/>
          <w:sz w:val="24"/>
          <w:szCs w:val="24"/>
        </w:rPr>
        <w:t xml:space="preserve"> </w:t>
      </w:r>
    </w:p>
    <w:p w14:paraId="01CD8381" w14:textId="453F18B0" w:rsidR="00B25F82" w:rsidRDefault="005D4077" w:rsidP="00BA6F0D">
      <w:pPr>
        <w:pStyle w:val="ListParagraph"/>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MH/SUD </w:t>
      </w:r>
      <w:r w:rsidR="00B25F82" w:rsidRPr="00E23BB7">
        <w:rPr>
          <w:rFonts w:ascii="Times New Roman" w:eastAsia="Times New Roman" w:hAnsi="Times New Roman" w:cs="Times New Roman"/>
          <w:color w:val="000000"/>
          <w:sz w:val="24"/>
          <w:szCs w:val="24"/>
        </w:rPr>
        <w:t>Crisis Stabilization Service</w:t>
      </w:r>
      <w:r w:rsidR="00BA6F0D">
        <w:rPr>
          <w:rFonts w:ascii="Times New Roman" w:eastAsia="Times New Roman" w:hAnsi="Times New Roman" w:cs="Times New Roman"/>
          <w:color w:val="000000"/>
          <w:sz w:val="24"/>
          <w:szCs w:val="24"/>
        </w:rPr>
        <w:t xml:space="preserve"> </w:t>
      </w:r>
      <w:r w:rsidR="00BA6F0D" w:rsidRPr="00BA6F0D">
        <w:rPr>
          <w:rFonts w:ascii="Times New Roman" w:eastAsia="Times New Roman" w:hAnsi="Times New Roman" w:cs="Times New Roman"/>
          <w:color w:val="000000"/>
          <w:sz w:val="24"/>
          <w:szCs w:val="24"/>
        </w:rPr>
        <w:t xml:space="preserve">Facility/Behavioral Health Crisis Stabilization Center </w:t>
      </w:r>
      <w:r w:rsidR="00B25F82" w:rsidRPr="00E23BB7">
        <w:rPr>
          <w:rFonts w:ascii="Times New Roman" w:eastAsia="Times New Roman" w:hAnsi="Times New Roman" w:cs="Times New Roman"/>
          <w:color w:val="000000"/>
          <w:sz w:val="24"/>
          <w:szCs w:val="24"/>
        </w:rPr>
        <w:t>(up to 23 hours)</w:t>
      </w:r>
      <w:r w:rsidR="00F20EBC">
        <w:rPr>
          <w:rFonts w:ascii="Times New Roman" w:eastAsia="Times New Roman" w:hAnsi="Times New Roman" w:cs="Times New Roman"/>
          <w:color w:val="000000"/>
          <w:sz w:val="24"/>
          <w:szCs w:val="24"/>
        </w:rPr>
        <w:t>;</w:t>
      </w:r>
    </w:p>
    <w:p w14:paraId="4A3A131B" w14:textId="3E563037" w:rsidR="00F20EBC" w:rsidRPr="00E23BB7" w:rsidRDefault="00F20EBC" w:rsidP="00F20EBC">
      <w:pPr>
        <w:pStyle w:val="ListParagraph"/>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Emergency </w:t>
      </w:r>
      <w:r w:rsidR="00BA6F0D">
        <w:rPr>
          <w:rFonts w:ascii="Times New Roman" w:eastAsia="Times New Roman" w:hAnsi="Times New Roman" w:cs="Times New Roman"/>
          <w:color w:val="000000"/>
          <w:sz w:val="24"/>
          <w:szCs w:val="24"/>
        </w:rPr>
        <w:t>D</w:t>
      </w:r>
      <w:r w:rsidRPr="00801CF6">
        <w:rPr>
          <w:rFonts w:ascii="Times New Roman" w:eastAsia="Times New Roman" w:hAnsi="Times New Roman" w:cs="Times New Roman"/>
          <w:color w:val="000000"/>
          <w:sz w:val="24"/>
          <w:szCs w:val="24"/>
        </w:rPr>
        <w:t>epartment</w:t>
      </w:r>
      <w:r w:rsidR="00BA6F0D">
        <w:rPr>
          <w:rFonts w:ascii="Times New Roman" w:eastAsia="Times New Roman" w:hAnsi="Times New Roman" w:cs="Times New Roman"/>
          <w:color w:val="000000"/>
          <w:sz w:val="24"/>
          <w:szCs w:val="24"/>
        </w:rPr>
        <w:t xml:space="preserve"> of a Hospital</w:t>
      </w:r>
      <w:r w:rsidRPr="00801CF6">
        <w:rPr>
          <w:rFonts w:ascii="Times New Roman" w:eastAsia="Times New Roman" w:hAnsi="Times New Roman" w:cs="Times New Roman"/>
          <w:color w:val="000000"/>
          <w:sz w:val="24"/>
          <w:szCs w:val="24"/>
        </w:rPr>
        <w:t xml:space="preserve">, </w:t>
      </w:r>
      <w:r w:rsidR="00BA6F0D">
        <w:rPr>
          <w:rFonts w:ascii="Times New Roman" w:eastAsia="Times New Roman" w:hAnsi="Times New Roman" w:cs="Times New Roman"/>
          <w:color w:val="000000"/>
          <w:sz w:val="24"/>
          <w:szCs w:val="24"/>
        </w:rPr>
        <w:t>or F</w:t>
      </w:r>
      <w:r w:rsidRPr="00801CF6">
        <w:rPr>
          <w:rFonts w:ascii="Times New Roman" w:eastAsia="Times New Roman" w:hAnsi="Times New Roman" w:cs="Times New Roman"/>
          <w:color w:val="000000"/>
          <w:sz w:val="24"/>
          <w:szCs w:val="24"/>
        </w:rPr>
        <w:t xml:space="preserve">reestanding </w:t>
      </w:r>
      <w:r w:rsidR="00BA6F0D">
        <w:rPr>
          <w:rFonts w:ascii="Times New Roman" w:eastAsia="Times New Roman" w:hAnsi="Times New Roman" w:cs="Times New Roman"/>
          <w:color w:val="000000"/>
          <w:sz w:val="24"/>
          <w:szCs w:val="24"/>
        </w:rPr>
        <w:t>E</w:t>
      </w:r>
      <w:r w:rsidRPr="00801CF6">
        <w:rPr>
          <w:rFonts w:ascii="Times New Roman" w:eastAsia="Times New Roman" w:hAnsi="Times New Roman" w:cs="Times New Roman"/>
          <w:color w:val="000000"/>
          <w:sz w:val="24"/>
          <w:szCs w:val="24"/>
        </w:rPr>
        <w:t>mergency</w:t>
      </w:r>
      <w:r w:rsidR="00BA6F0D">
        <w:rPr>
          <w:rFonts w:ascii="Times New Roman" w:eastAsia="Times New Roman" w:hAnsi="Times New Roman" w:cs="Times New Roman"/>
          <w:color w:val="000000"/>
          <w:sz w:val="24"/>
          <w:szCs w:val="24"/>
        </w:rPr>
        <w:t xml:space="preserve"> Medical Facility</w:t>
      </w:r>
      <w:r>
        <w:rPr>
          <w:rFonts w:ascii="Times New Roman" w:eastAsia="Times New Roman" w:hAnsi="Times New Roman" w:cs="Times New Roman"/>
          <w:color w:val="000000"/>
          <w:sz w:val="24"/>
          <w:szCs w:val="24"/>
        </w:rPr>
        <w:t>; and</w:t>
      </w:r>
    </w:p>
    <w:p w14:paraId="443A8BC8" w14:textId="5D76E26B" w:rsidR="00B25F82" w:rsidRPr="00E23BB7" w:rsidRDefault="005D4077" w:rsidP="00F20EBC">
      <w:pPr>
        <w:pStyle w:val="ListParagraph"/>
        <w:numPr>
          <w:ilvl w:val="0"/>
          <w:numId w:val="25"/>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MH/SUD </w:t>
      </w:r>
      <w:r w:rsidR="00B25F82" w:rsidRPr="00E23BB7">
        <w:rPr>
          <w:rFonts w:ascii="Times New Roman" w:eastAsia="Times New Roman" w:hAnsi="Times New Roman" w:cs="Times New Roman"/>
          <w:color w:val="000000"/>
          <w:sz w:val="24"/>
          <w:szCs w:val="24"/>
        </w:rPr>
        <w:t>Mobile Crisis Team</w:t>
      </w:r>
      <w:r w:rsidR="00F20EBC">
        <w:rPr>
          <w:rFonts w:ascii="Times New Roman" w:eastAsia="Times New Roman" w:hAnsi="Times New Roman" w:cs="Times New Roman"/>
          <w:color w:val="000000"/>
          <w:sz w:val="24"/>
          <w:szCs w:val="24"/>
        </w:rPr>
        <w:t>.</w:t>
      </w:r>
    </w:p>
    <w:p w14:paraId="341D7258" w14:textId="3CE638BC" w:rsidR="003963B9" w:rsidRPr="00F20EBC" w:rsidRDefault="003963B9" w:rsidP="00F20EBC">
      <w:pPr>
        <w:pBdr>
          <w:top w:val="nil"/>
          <w:left w:val="nil"/>
          <w:bottom w:val="nil"/>
          <w:right w:val="nil"/>
          <w:between w:val="nil"/>
        </w:pBdr>
        <w:spacing w:after="0" w:line="240" w:lineRule="auto"/>
        <w:ind w:left="360" w:firstLine="0"/>
        <w:rPr>
          <w:rFonts w:ascii="Times New Roman" w:eastAsia="Times New Roman" w:hAnsi="Times New Roman" w:cs="Times New Roman"/>
          <w:color w:val="000000"/>
          <w:sz w:val="24"/>
          <w:szCs w:val="24"/>
        </w:rPr>
      </w:pPr>
      <w:bookmarkStart w:id="49" w:name="OLE_LINK3"/>
      <w:bookmarkStart w:id="50" w:name="OLE_LINK4"/>
    </w:p>
    <w:bookmarkEnd w:id="49"/>
    <w:bookmarkEnd w:id="50"/>
    <w:p w14:paraId="06C2FE56" w14:textId="6D92EA61" w:rsidR="00794D90" w:rsidRPr="00801CF6" w:rsidRDefault="00F20EBC" w:rsidP="00225A29">
      <w:pPr>
        <w:pBdr>
          <w:top w:val="nil"/>
          <w:left w:val="nil"/>
          <w:bottom w:val="nil"/>
          <w:right w:val="nil"/>
          <w:between w:val="nil"/>
        </w:pBdr>
        <w:spacing w:after="0"/>
        <w:ind w:left="360"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794D90" w:rsidRPr="00801CF6">
        <w:rPr>
          <w:rFonts w:ascii="Times New Roman" w:eastAsia="Times New Roman" w:hAnsi="Times New Roman" w:cs="Times New Roman"/>
          <w:color w:val="000000"/>
          <w:sz w:val="24"/>
          <w:szCs w:val="24"/>
        </w:rPr>
        <w:t xml:space="preserve">arriers are required to </w:t>
      </w:r>
      <w:r w:rsidR="007825FC" w:rsidRPr="00801CF6">
        <w:rPr>
          <w:rFonts w:ascii="Times New Roman" w:eastAsia="Times New Roman" w:hAnsi="Times New Roman" w:cs="Times New Roman"/>
          <w:color w:val="000000"/>
          <w:sz w:val="24"/>
          <w:szCs w:val="24"/>
        </w:rPr>
        <w:t>define</w:t>
      </w:r>
      <w:r w:rsidR="00261AF4" w:rsidRPr="00801CF6">
        <w:rPr>
          <w:rFonts w:ascii="Times New Roman" w:eastAsia="Times New Roman" w:hAnsi="Times New Roman" w:cs="Times New Roman"/>
          <w:color w:val="000000"/>
          <w:sz w:val="24"/>
          <w:szCs w:val="24"/>
        </w:rPr>
        <w:t xml:space="preserve"> </w:t>
      </w:r>
      <w:r w:rsidR="00794D90" w:rsidRPr="00801CF6">
        <w:rPr>
          <w:rFonts w:ascii="Times New Roman" w:eastAsia="Times New Roman" w:hAnsi="Times New Roman" w:cs="Times New Roman"/>
          <w:color w:val="000000"/>
          <w:sz w:val="24"/>
          <w:szCs w:val="24"/>
        </w:rPr>
        <w:t xml:space="preserve">the corresponding </w:t>
      </w:r>
      <w:r w:rsidR="00FA3D0B" w:rsidRPr="00801CF6">
        <w:rPr>
          <w:rFonts w:ascii="Times New Roman" w:eastAsia="Times New Roman" w:hAnsi="Times New Roman" w:cs="Times New Roman"/>
          <w:color w:val="000000"/>
          <w:sz w:val="24"/>
          <w:szCs w:val="24"/>
        </w:rPr>
        <w:t>medical/surgical</w:t>
      </w:r>
      <w:r w:rsidR="004E6D80">
        <w:rPr>
          <w:rFonts w:ascii="Times New Roman" w:eastAsia="Times New Roman" w:hAnsi="Times New Roman" w:cs="Times New Roman"/>
          <w:color w:val="000000"/>
          <w:sz w:val="24"/>
          <w:szCs w:val="24"/>
        </w:rPr>
        <w:t xml:space="preserve"> service types for the </w:t>
      </w:r>
      <w:r w:rsidR="00AE4898">
        <w:rPr>
          <w:rFonts w:ascii="Times New Roman" w:eastAsia="Times New Roman" w:hAnsi="Times New Roman" w:cs="Times New Roman"/>
          <w:color w:val="000000"/>
          <w:sz w:val="24"/>
          <w:szCs w:val="24"/>
        </w:rPr>
        <w:t xml:space="preserve">four </w:t>
      </w:r>
      <w:r w:rsidR="00794D90" w:rsidRPr="00801CF6">
        <w:rPr>
          <w:rFonts w:ascii="Times New Roman" w:eastAsia="Times New Roman" w:hAnsi="Times New Roman" w:cs="Times New Roman"/>
          <w:color w:val="000000"/>
          <w:sz w:val="24"/>
          <w:szCs w:val="24"/>
        </w:rPr>
        <w:t>MH/SUD service types listed above and describe the</w:t>
      </w:r>
      <w:r w:rsidR="003963B9" w:rsidRPr="00801CF6">
        <w:rPr>
          <w:rFonts w:ascii="Times New Roman" w:eastAsia="Times New Roman" w:hAnsi="Times New Roman" w:cs="Times New Roman"/>
          <w:color w:val="000000"/>
          <w:sz w:val="24"/>
          <w:szCs w:val="24"/>
        </w:rPr>
        <w:t xml:space="preserve"> </w:t>
      </w:r>
      <w:r w:rsidR="00794D90" w:rsidRPr="00801CF6">
        <w:rPr>
          <w:rFonts w:ascii="Times New Roman" w:eastAsia="Times New Roman" w:hAnsi="Times New Roman" w:cs="Times New Roman"/>
          <w:color w:val="000000"/>
          <w:sz w:val="24"/>
          <w:szCs w:val="24"/>
        </w:rPr>
        <w:t xml:space="preserve">coverage of </w:t>
      </w:r>
      <w:r w:rsidR="007825FC" w:rsidRPr="00801CF6">
        <w:rPr>
          <w:rFonts w:ascii="Times New Roman" w:eastAsia="Times New Roman" w:hAnsi="Times New Roman" w:cs="Times New Roman"/>
          <w:color w:val="000000"/>
          <w:sz w:val="24"/>
          <w:szCs w:val="24"/>
        </w:rPr>
        <w:t>each</w:t>
      </w:r>
      <w:r w:rsidR="00794D90" w:rsidRPr="00801CF6">
        <w:rPr>
          <w:rFonts w:ascii="Times New Roman" w:eastAsia="Times New Roman" w:hAnsi="Times New Roman" w:cs="Times New Roman"/>
          <w:color w:val="000000"/>
          <w:sz w:val="24"/>
          <w:szCs w:val="24"/>
        </w:rPr>
        <w:t xml:space="preserve"> service type.   </w:t>
      </w:r>
    </w:p>
    <w:p w14:paraId="7397FF9D" w14:textId="77777777" w:rsidR="00794D90" w:rsidRPr="00801CF6" w:rsidRDefault="00794D90" w:rsidP="00225A29">
      <w:pPr>
        <w:pBdr>
          <w:top w:val="nil"/>
          <w:left w:val="nil"/>
          <w:bottom w:val="nil"/>
          <w:right w:val="nil"/>
          <w:between w:val="nil"/>
        </w:pBdr>
        <w:spacing w:after="0"/>
        <w:ind w:left="360" w:right="-1260" w:firstLine="0"/>
        <w:jc w:val="left"/>
        <w:rPr>
          <w:rFonts w:ascii="Times New Roman" w:eastAsia="Times New Roman" w:hAnsi="Times New Roman" w:cs="Times New Roman"/>
          <w:color w:val="000000"/>
          <w:sz w:val="24"/>
          <w:szCs w:val="24"/>
        </w:rPr>
      </w:pPr>
    </w:p>
    <w:p w14:paraId="564345FB" w14:textId="7D4D73A9" w:rsidR="00AB63CB" w:rsidRPr="00801CF6" w:rsidRDefault="00BC41B6" w:rsidP="00225A29">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The comparative analysis for the</w:t>
      </w:r>
      <w:r w:rsidR="00302DDE">
        <w:rPr>
          <w:rFonts w:ascii="Times New Roman" w:eastAsia="Times New Roman" w:hAnsi="Times New Roman" w:cs="Times New Roman"/>
          <w:color w:val="000000"/>
          <w:sz w:val="24"/>
          <w:szCs w:val="24"/>
        </w:rPr>
        <w:t xml:space="preserve"> Coverage of</w:t>
      </w:r>
      <w:r w:rsidRPr="00801CF6">
        <w:rPr>
          <w:rFonts w:ascii="Times New Roman" w:eastAsia="Times New Roman" w:hAnsi="Times New Roman" w:cs="Times New Roman"/>
          <w:color w:val="000000"/>
          <w:sz w:val="24"/>
          <w:szCs w:val="24"/>
        </w:rPr>
        <w:t xml:space="preserve"> </w:t>
      </w:r>
      <w:r w:rsidR="00D12C54">
        <w:rPr>
          <w:rFonts w:ascii="Times New Roman" w:eastAsia="Times New Roman" w:hAnsi="Times New Roman" w:cs="Times New Roman"/>
          <w:color w:val="000000"/>
          <w:sz w:val="24"/>
          <w:szCs w:val="24"/>
        </w:rPr>
        <w:t>C</w:t>
      </w:r>
      <w:r w:rsidR="00B45597" w:rsidRPr="00801CF6">
        <w:rPr>
          <w:rFonts w:ascii="Times New Roman" w:eastAsia="Times New Roman" w:hAnsi="Times New Roman" w:cs="Times New Roman"/>
          <w:color w:val="000000"/>
          <w:sz w:val="24"/>
          <w:szCs w:val="24"/>
        </w:rPr>
        <w:t>ris</w:t>
      </w:r>
      <w:r w:rsidR="00714802">
        <w:rPr>
          <w:rFonts w:ascii="Times New Roman" w:eastAsia="Times New Roman" w:hAnsi="Times New Roman" w:cs="Times New Roman"/>
          <w:color w:val="000000"/>
          <w:sz w:val="24"/>
          <w:szCs w:val="24"/>
        </w:rPr>
        <w:t>i</w:t>
      </w:r>
      <w:r w:rsidR="00B45597" w:rsidRPr="00801CF6">
        <w:rPr>
          <w:rFonts w:ascii="Times New Roman" w:eastAsia="Times New Roman" w:hAnsi="Times New Roman" w:cs="Times New Roman"/>
          <w:color w:val="000000"/>
          <w:sz w:val="24"/>
          <w:szCs w:val="24"/>
        </w:rPr>
        <w:t>s and Emergency Services</w:t>
      </w:r>
      <w:r w:rsidR="00B122C9">
        <w:rPr>
          <w:rFonts w:ascii="Times New Roman" w:eastAsia="Times New Roman" w:hAnsi="Times New Roman" w:cs="Times New Roman"/>
          <w:color w:val="000000"/>
          <w:sz w:val="24"/>
          <w:szCs w:val="24"/>
        </w:rPr>
        <w:t xml:space="preserve"> </w:t>
      </w:r>
      <w:r w:rsidRPr="00801CF6">
        <w:rPr>
          <w:rFonts w:ascii="Times New Roman" w:eastAsia="Times New Roman" w:hAnsi="Times New Roman" w:cs="Times New Roman"/>
          <w:color w:val="000000"/>
          <w:sz w:val="24"/>
          <w:szCs w:val="24"/>
        </w:rPr>
        <w:t xml:space="preserve">NQTL must address the process for determining </w:t>
      </w:r>
      <w:r w:rsidR="00B45597" w:rsidRPr="00801CF6">
        <w:rPr>
          <w:rFonts w:ascii="Times New Roman" w:eastAsia="Times New Roman" w:hAnsi="Times New Roman" w:cs="Times New Roman"/>
          <w:color w:val="000000"/>
          <w:sz w:val="24"/>
          <w:szCs w:val="24"/>
        </w:rPr>
        <w:t>coverage</w:t>
      </w:r>
      <w:r w:rsidRPr="00801CF6">
        <w:rPr>
          <w:rFonts w:ascii="Times New Roman" w:eastAsia="Times New Roman" w:hAnsi="Times New Roman" w:cs="Times New Roman"/>
          <w:color w:val="000000"/>
          <w:sz w:val="24"/>
          <w:szCs w:val="24"/>
        </w:rPr>
        <w:t xml:space="preserve"> for in-network and out-of-network providers</w:t>
      </w:r>
      <w:r w:rsidR="0046244D" w:rsidRPr="00801CF6">
        <w:rPr>
          <w:rFonts w:ascii="Times New Roman" w:eastAsia="Times New Roman" w:hAnsi="Times New Roman" w:cs="Times New Roman"/>
          <w:color w:val="000000"/>
          <w:sz w:val="24"/>
          <w:szCs w:val="24"/>
        </w:rPr>
        <w:t xml:space="preserve"> for the MH/SUD service types listed above and their corresponding </w:t>
      </w:r>
      <w:r w:rsidR="00FA3D0B" w:rsidRPr="00801CF6">
        <w:rPr>
          <w:rFonts w:ascii="Times New Roman" w:eastAsia="Times New Roman" w:hAnsi="Times New Roman" w:cs="Times New Roman"/>
          <w:color w:val="000000"/>
          <w:sz w:val="24"/>
          <w:szCs w:val="24"/>
        </w:rPr>
        <w:t>medical/surgical</w:t>
      </w:r>
      <w:r w:rsidR="0046244D" w:rsidRPr="00801CF6">
        <w:rPr>
          <w:rFonts w:ascii="Times New Roman" w:eastAsia="Times New Roman" w:hAnsi="Times New Roman" w:cs="Times New Roman"/>
          <w:color w:val="000000"/>
          <w:sz w:val="24"/>
          <w:szCs w:val="24"/>
        </w:rPr>
        <w:t xml:space="preserve"> types</w:t>
      </w:r>
      <w:r w:rsidRPr="00801CF6">
        <w:rPr>
          <w:rFonts w:ascii="Times New Roman" w:eastAsia="Times New Roman" w:hAnsi="Times New Roman" w:cs="Times New Roman"/>
          <w:color w:val="000000"/>
          <w:sz w:val="24"/>
          <w:szCs w:val="24"/>
        </w:rPr>
        <w:t xml:space="preserve">. </w:t>
      </w:r>
    </w:p>
    <w:p w14:paraId="5F771495" w14:textId="77777777" w:rsidR="00AB63CB" w:rsidRDefault="00AB63CB" w:rsidP="00225A29">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p>
    <w:p w14:paraId="46C79DC3" w14:textId="75883366" w:rsidR="00BC41B6" w:rsidRPr="00801CF6" w:rsidRDefault="00BC41B6" w:rsidP="00225A29">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A separate analysis must be provided for </w:t>
      </w:r>
      <w:r w:rsidR="001B0620" w:rsidRPr="00801CF6">
        <w:rPr>
          <w:rFonts w:ascii="Times New Roman" w:eastAsia="Times New Roman" w:hAnsi="Times New Roman" w:cs="Times New Roman"/>
          <w:color w:val="000000"/>
          <w:sz w:val="24"/>
          <w:szCs w:val="24"/>
        </w:rPr>
        <w:t>each service type</w:t>
      </w:r>
      <w:r w:rsidR="00794D90" w:rsidRPr="00801CF6">
        <w:rPr>
          <w:rFonts w:ascii="Times New Roman" w:eastAsia="Times New Roman" w:hAnsi="Times New Roman" w:cs="Times New Roman"/>
          <w:color w:val="000000"/>
          <w:sz w:val="24"/>
          <w:szCs w:val="24"/>
        </w:rPr>
        <w:t xml:space="preserve">. </w:t>
      </w:r>
      <w:r w:rsidRPr="00801CF6">
        <w:rPr>
          <w:rFonts w:ascii="Times New Roman" w:eastAsia="Times New Roman" w:hAnsi="Times New Roman" w:cs="Times New Roman"/>
          <w:color w:val="000000"/>
          <w:sz w:val="24"/>
          <w:szCs w:val="24"/>
        </w:rPr>
        <w:t xml:space="preserve"> Any variance in </w:t>
      </w:r>
      <w:r w:rsidR="001F490C" w:rsidRPr="00801CF6">
        <w:rPr>
          <w:rFonts w:ascii="Times New Roman" w:eastAsia="Times New Roman" w:hAnsi="Times New Roman" w:cs="Times New Roman"/>
          <w:color w:val="000000"/>
          <w:sz w:val="24"/>
          <w:szCs w:val="24"/>
        </w:rPr>
        <w:t>coverage</w:t>
      </w:r>
      <w:r w:rsidRPr="00801CF6">
        <w:rPr>
          <w:rFonts w:ascii="Times New Roman" w:eastAsia="Times New Roman" w:hAnsi="Times New Roman" w:cs="Times New Roman"/>
          <w:color w:val="000000"/>
          <w:sz w:val="24"/>
          <w:szCs w:val="24"/>
        </w:rPr>
        <w:t xml:space="preserve"> by the carrier to account for factors such as the nature of the service</w:t>
      </w:r>
      <w:r w:rsidR="00152322">
        <w:rPr>
          <w:rFonts w:ascii="Times New Roman" w:eastAsia="Times New Roman" w:hAnsi="Times New Roman" w:cs="Times New Roman"/>
          <w:color w:val="000000"/>
          <w:sz w:val="24"/>
          <w:szCs w:val="24"/>
        </w:rPr>
        <w:t xml:space="preserve"> </w:t>
      </w:r>
      <w:r w:rsidR="007F5F86" w:rsidRPr="00801CF6">
        <w:rPr>
          <w:rFonts w:ascii="Times New Roman" w:eastAsia="Times New Roman" w:hAnsi="Times New Roman" w:cs="Times New Roman"/>
          <w:color w:val="000000"/>
          <w:sz w:val="24"/>
          <w:szCs w:val="24"/>
        </w:rPr>
        <w:t>or</w:t>
      </w:r>
      <w:r w:rsidRPr="00801CF6">
        <w:rPr>
          <w:rFonts w:ascii="Times New Roman" w:eastAsia="Times New Roman" w:hAnsi="Times New Roman" w:cs="Times New Roman"/>
          <w:color w:val="000000"/>
          <w:sz w:val="24"/>
          <w:szCs w:val="24"/>
        </w:rPr>
        <w:t xml:space="preserve"> provider type must be comparable and applied no more stringently to MH/SUD benefits than </w:t>
      </w:r>
      <w:r w:rsidR="00B122C9">
        <w:rPr>
          <w:rFonts w:ascii="Times New Roman" w:eastAsia="Times New Roman" w:hAnsi="Times New Roman" w:cs="Times New Roman"/>
          <w:color w:val="000000"/>
          <w:sz w:val="24"/>
          <w:szCs w:val="24"/>
        </w:rPr>
        <w:t xml:space="preserve">to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color w:val="000000"/>
          <w:sz w:val="24"/>
          <w:szCs w:val="24"/>
        </w:rPr>
        <w:t xml:space="preserve"> benefits.</w:t>
      </w:r>
      <w:r w:rsidR="00AB63CB">
        <w:rPr>
          <w:rFonts w:ascii="Times New Roman" w:eastAsia="Times New Roman" w:hAnsi="Times New Roman" w:cs="Times New Roman"/>
          <w:color w:val="000000"/>
          <w:sz w:val="24"/>
          <w:szCs w:val="24"/>
        </w:rPr>
        <w:t xml:space="preserve"> </w:t>
      </w:r>
    </w:p>
    <w:p w14:paraId="72FC2198" w14:textId="77777777" w:rsidR="00BC41B6" w:rsidRPr="00801CF6" w:rsidRDefault="00BC41B6" w:rsidP="00225A29">
      <w:pPr>
        <w:pBdr>
          <w:top w:val="nil"/>
          <w:left w:val="nil"/>
          <w:bottom w:val="nil"/>
          <w:right w:val="nil"/>
          <w:between w:val="nil"/>
        </w:pBdr>
        <w:spacing w:after="0"/>
        <w:ind w:left="360" w:right="432" w:firstLine="0"/>
        <w:rPr>
          <w:rFonts w:ascii="Times New Roman" w:eastAsia="Times New Roman" w:hAnsi="Times New Roman" w:cs="Times New Roman"/>
          <w:color w:val="000000"/>
          <w:sz w:val="24"/>
          <w:szCs w:val="24"/>
        </w:rPr>
      </w:pPr>
    </w:p>
    <w:p w14:paraId="07B355E4" w14:textId="0DDF0CC7" w:rsidR="00BC41B6" w:rsidRPr="00801CF6" w:rsidRDefault="00BC41B6" w:rsidP="00225A29">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 3 must be submitted to support the in</w:t>
      </w:r>
      <w:r w:rsidR="00643EB7">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operation comparative analysis under Step 5 </w:t>
      </w:r>
      <w:r w:rsidR="00643F48" w:rsidRPr="00801CF6">
        <w:rPr>
          <w:rFonts w:ascii="Times New Roman" w:eastAsia="Times New Roman" w:hAnsi="Times New Roman" w:cs="Times New Roman"/>
          <w:color w:val="000000"/>
          <w:sz w:val="24"/>
          <w:szCs w:val="24"/>
        </w:rPr>
        <w:t xml:space="preserve">for the </w:t>
      </w:r>
      <w:r w:rsidR="005B595D" w:rsidRPr="00801CF6">
        <w:rPr>
          <w:rFonts w:ascii="Times New Roman" w:eastAsia="Times New Roman" w:hAnsi="Times New Roman" w:cs="Times New Roman"/>
          <w:color w:val="000000"/>
          <w:sz w:val="24"/>
          <w:szCs w:val="24"/>
        </w:rPr>
        <w:t xml:space="preserve">Coverage of Crisis/Emergency Services NQTL. </w:t>
      </w:r>
    </w:p>
    <w:p w14:paraId="5D52DDE9" w14:textId="77777777" w:rsidR="00D416BC" w:rsidRPr="00801CF6" w:rsidRDefault="00D416BC" w:rsidP="00D416BC">
      <w:pPr>
        <w:pBdr>
          <w:top w:val="nil"/>
          <w:left w:val="nil"/>
          <w:bottom w:val="nil"/>
          <w:right w:val="nil"/>
          <w:between w:val="nil"/>
        </w:pBdr>
        <w:spacing w:after="0" w:line="240" w:lineRule="auto"/>
        <w:ind w:left="450" w:firstLine="0"/>
        <w:rPr>
          <w:rFonts w:ascii="Times New Roman" w:eastAsia="Times New Roman" w:hAnsi="Times New Roman" w:cs="Times New Roman"/>
          <w:color w:val="000000"/>
          <w:sz w:val="24"/>
          <w:szCs w:val="24"/>
        </w:rPr>
      </w:pPr>
    </w:p>
    <w:p w14:paraId="514A38B2" w14:textId="6468397F" w:rsidR="00D416BC" w:rsidRPr="00F75F33" w:rsidRDefault="00D416BC" w:rsidP="00225A29">
      <w:pPr>
        <w:pBdr>
          <w:top w:val="nil"/>
          <w:left w:val="nil"/>
          <w:bottom w:val="nil"/>
          <w:right w:val="nil"/>
          <w:between w:val="nil"/>
        </w:pBdr>
        <w:spacing w:after="0" w:line="240" w:lineRule="auto"/>
        <w:ind w:left="0" w:right="-1260" w:firstLine="0"/>
        <w:jc w:val="left"/>
        <w:rPr>
          <w:rFonts w:ascii="Times New Roman" w:eastAsia="Times New Roman" w:hAnsi="Times New Roman" w:cs="Times New Roman"/>
          <w:b/>
          <w:color w:val="000000"/>
          <w:sz w:val="24"/>
          <w:szCs w:val="24"/>
          <w:u w:val="single"/>
        </w:rPr>
      </w:pPr>
      <w:r w:rsidRPr="00F75F33">
        <w:rPr>
          <w:rFonts w:ascii="Times New Roman" w:eastAsia="Times New Roman" w:hAnsi="Times New Roman" w:cs="Times New Roman"/>
          <w:b/>
          <w:bCs/>
          <w:color w:val="000000"/>
          <w:sz w:val="24"/>
          <w:szCs w:val="24"/>
          <w:u w:val="single"/>
        </w:rPr>
        <w:t>NQTL 4</w:t>
      </w:r>
      <w:r w:rsidR="00F75F33" w:rsidRPr="00F75F33">
        <w:rPr>
          <w:rFonts w:ascii="Times New Roman" w:eastAsia="Times New Roman" w:hAnsi="Times New Roman" w:cs="Times New Roman"/>
          <w:b/>
          <w:color w:val="000000"/>
          <w:sz w:val="24"/>
          <w:szCs w:val="24"/>
          <w:u w:val="single"/>
        </w:rPr>
        <w:t>:</w:t>
      </w:r>
      <w:r w:rsidRPr="00F75F33">
        <w:rPr>
          <w:rFonts w:ascii="Times New Roman" w:eastAsia="Times New Roman" w:hAnsi="Times New Roman" w:cs="Times New Roman"/>
          <w:b/>
          <w:color w:val="000000"/>
          <w:sz w:val="24"/>
          <w:szCs w:val="24"/>
          <w:u w:val="single"/>
        </w:rPr>
        <w:t xml:space="preserve"> Experimental/Investigational/Unproven</w:t>
      </w:r>
      <w:r w:rsidR="00CB0071" w:rsidRPr="00F75F33">
        <w:rPr>
          <w:rFonts w:ascii="Times New Roman" w:eastAsia="Times New Roman" w:hAnsi="Times New Roman" w:cs="Times New Roman"/>
          <w:b/>
          <w:color w:val="000000"/>
          <w:sz w:val="24"/>
          <w:szCs w:val="24"/>
          <w:u w:val="single"/>
        </w:rPr>
        <w:t xml:space="preserve"> (EIU)</w:t>
      </w:r>
      <w:r w:rsidR="004D098A" w:rsidRPr="00F75F33">
        <w:rPr>
          <w:rFonts w:ascii="Times New Roman" w:eastAsia="Times New Roman" w:hAnsi="Times New Roman" w:cs="Times New Roman"/>
          <w:b/>
          <w:color w:val="000000"/>
          <w:sz w:val="24"/>
          <w:szCs w:val="24"/>
          <w:u w:val="single"/>
        </w:rPr>
        <w:t xml:space="preserve"> Treatments</w:t>
      </w:r>
    </w:p>
    <w:p w14:paraId="0A9C3B6A" w14:textId="77777777" w:rsidR="00A535A1" w:rsidRPr="00801CF6" w:rsidRDefault="00A535A1" w:rsidP="00A535A1">
      <w:pPr>
        <w:pBdr>
          <w:top w:val="nil"/>
          <w:left w:val="nil"/>
          <w:bottom w:val="nil"/>
          <w:right w:val="nil"/>
          <w:between w:val="nil"/>
        </w:pBdr>
        <w:spacing w:after="0"/>
        <w:rPr>
          <w:rFonts w:ascii="Times New Roman" w:eastAsia="Times New Roman" w:hAnsi="Times New Roman" w:cs="Times New Roman"/>
          <w:color w:val="000000"/>
          <w:sz w:val="24"/>
          <w:szCs w:val="24"/>
        </w:rPr>
      </w:pPr>
    </w:p>
    <w:p w14:paraId="7F093DC2" w14:textId="6CB047A3" w:rsidR="006565FE" w:rsidRDefault="006565FE"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lastRenderedPageBreak/>
        <w:t xml:space="preserve">A complete </w:t>
      </w:r>
      <w:r w:rsidR="006061D1">
        <w:rPr>
          <w:rFonts w:ascii="Times New Roman" w:eastAsia="Times New Roman" w:hAnsi="Times New Roman" w:cs="Times New Roman"/>
          <w:color w:val="000000"/>
          <w:sz w:val="24"/>
          <w:szCs w:val="24"/>
        </w:rPr>
        <w:t xml:space="preserve">comparative </w:t>
      </w:r>
      <w:r w:rsidRPr="00801CF6">
        <w:rPr>
          <w:rFonts w:ascii="Times New Roman" w:eastAsia="Times New Roman" w:hAnsi="Times New Roman" w:cs="Times New Roman"/>
          <w:color w:val="000000"/>
          <w:sz w:val="24"/>
          <w:szCs w:val="24"/>
        </w:rPr>
        <w:t xml:space="preserve">analysis </w:t>
      </w:r>
      <w:r w:rsidR="003B3000">
        <w:rPr>
          <w:rFonts w:ascii="Times New Roman" w:eastAsia="Times New Roman" w:hAnsi="Times New Roman" w:cs="Times New Roman"/>
          <w:color w:val="000000"/>
          <w:sz w:val="24"/>
          <w:szCs w:val="24"/>
        </w:rPr>
        <w:t>must</w:t>
      </w:r>
      <w:r w:rsidRPr="00801CF6">
        <w:rPr>
          <w:rFonts w:ascii="Times New Roman" w:eastAsia="Times New Roman" w:hAnsi="Times New Roman" w:cs="Times New Roman"/>
          <w:color w:val="000000"/>
          <w:sz w:val="24"/>
          <w:szCs w:val="24"/>
        </w:rPr>
        <w:t xml:space="preserve"> address</w:t>
      </w:r>
      <w:r w:rsidR="00C51A48">
        <w:rPr>
          <w:rFonts w:ascii="Times New Roman" w:eastAsia="Times New Roman" w:hAnsi="Times New Roman" w:cs="Times New Roman"/>
          <w:color w:val="000000"/>
          <w:sz w:val="24"/>
          <w:szCs w:val="24"/>
        </w:rPr>
        <w:t xml:space="preserve"> </w:t>
      </w:r>
      <w:r w:rsidR="00F40B96" w:rsidRPr="00801CF6">
        <w:rPr>
          <w:rFonts w:ascii="Times New Roman" w:eastAsia="Times New Roman" w:hAnsi="Times New Roman" w:cs="Times New Roman"/>
          <w:color w:val="000000"/>
          <w:sz w:val="24"/>
          <w:szCs w:val="24"/>
        </w:rPr>
        <w:t>for both medical/surgical treatments and MH/SUD treatments</w:t>
      </w:r>
      <w:r w:rsidRPr="00801CF6">
        <w:rPr>
          <w:rFonts w:ascii="Times New Roman" w:eastAsia="Times New Roman" w:hAnsi="Times New Roman" w:cs="Times New Roman"/>
          <w:color w:val="000000"/>
          <w:sz w:val="24"/>
          <w:szCs w:val="24"/>
        </w:rPr>
        <w:t>:</w:t>
      </w:r>
    </w:p>
    <w:p w14:paraId="0A6AAFF3" w14:textId="77777777" w:rsidR="004E6D80" w:rsidRPr="00801CF6" w:rsidRDefault="004E6D80" w:rsidP="009C4821">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28B248FB" w14:textId="598D9160" w:rsidR="006565FE" w:rsidRPr="00801CF6" w:rsidRDefault="006565FE" w:rsidP="00225A29">
      <w:pPr>
        <w:pStyle w:val="ListParagraph"/>
        <w:numPr>
          <w:ilvl w:val="0"/>
          <w:numId w:val="3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How medical treatments are selected for review</w:t>
      </w:r>
      <w:r w:rsidR="00217B21">
        <w:rPr>
          <w:rFonts w:ascii="Times New Roman" w:eastAsia="Times New Roman" w:hAnsi="Times New Roman" w:cs="Times New Roman"/>
          <w:color w:val="000000"/>
          <w:sz w:val="24"/>
          <w:szCs w:val="24"/>
        </w:rPr>
        <w:t xml:space="preserve"> and the criteria for the selection</w:t>
      </w:r>
      <w:r w:rsidRPr="00801CF6">
        <w:rPr>
          <w:rFonts w:ascii="Times New Roman" w:eastAsia="Times New Roman" w:hAnsi="Times New Roman" w:cs="Times New Roman"/>
          <w:color w:val="000000"/>
          <w:sz w:val="24"/>
          <w:szCs w:val="24"/>
        </w:rPr>
        <w:t>;</w:t>
      </w:r>
    </w:p>
    <w:p w14:paraId="67403B4C" w14:textId="1BF89BFA" w:rsidR="006565FE" w:rsidRPr="00801CF6" w:rsidRDefault="006565FE" w:rsidP="00225A29">
      <w:pPr>
        <w:pStyle w:val="ListParagraph"/>
        <w:numPr>
          <w:ilvl w:val="0"/>
          <w:numId w:val="3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How the definition of “experimental medical care” is developed;</w:t>
      </w:r>
    </w:p>
    <w:p w14:paraId="2B847DB8" w14:textId="7BC7539D" w:rsidR="006565FE" w:rsidRPr="00801CF6" w:rsidRDefault="006565FE" w:rsidP="00225A29">
      <w:pPr>
        <w:pStyle w:val="ListParagraph"/>
        <w:numPr>
          <w:ilvl w:val="0"/>
          <w:numId w:val="3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How the definition of “experimental medical care” is disclosed to providers and members;</w:t>
      </w:r>
    </w:p>
    <w:p w14:paraId="28DF9F67" w14:textId="14E9789E" w:rsidR="006565FE" w:rsidRPr="00801CF6" w:rsidRDefault="006565FE" w:rsidP="00225A29">
      <w:pPr>
        <w:pStyle w:val="ListParagraph"/>
        <w:numPr>
          <w:ilvl w:val="0"/>
          <w:numId w:val="3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Whether the process described in § 15-123 </w:t>
      </w:r>
      <w:r w:rsidR="006061D1">
        <w:rPr>
          <w:rFonts w:ascii="Times New Roman" w:eastAsia="Times New Roman" w:hAnsi="Times New Roman" w:cs="Times New Roman"/>
          <w:color w:val="000000"/>
          <w:sz w:val="24"/>
          <w:szCs w:val="24"/>
        </w:rPr>
        <w:t xml:space="preserve">(which requires carriers to establish systematic processes to evaluate emerging medical and surgical treatments) </w:t>
      </w:r>
      <w:r w:rsidRPr="00801CF6">
        <w:rPr>
          <w:rFonts w:ascii="Times New Roman" w:eastAsia="Times New Roman" w:hAnsi="Times New Roman" w:cs="Times New Roman"/>
          <w:color w:val="000000"/>
          <w:sz w:val="24"/>
          <w:szCs w:val="24"/>
        </w:rPr>
        <w:t>is applied to MH/SUD services, and whether there are any differences</w:t>
      </w:r>
      <w:r w:rsidR="00F40B96" w:rsidRPr="00801CF6">
        <w:rPr>
          <w:rFonts w:ascii="Times New Roman" w:eastAsia="Times New Roman" w:hAnsi="Times New Roman" w:cs="Times New Roman"/>
          <w:color w:val="000000"/>
          <w:sz w:val="24"/>
          <w:szCs w:val="24"/>
        </w:rPr>
        <w:t xml:space="preserve"> in the processes for medical/surgical or MH/SUD evaluation of new treatments</w:t>
      </w:r>
      <w:r w:rsidRPr="00801CF6">
        <w:rPr>
          <w:rFonts w:ascii="Times New Roman" w:eastAsia="Times New Roman" w:hAnsi="Times New Roman" w:cs="Times New Roman"/>
          <w:color w:val="000000"/>
          <w:sz w:val="24"/>
          <w:szCs w:val="24"/>
        </w:rPr>
        <w:t>;</w:t>
      </w:r>
    </w:p>
    <w:p w14:paraId="504B97AD" w14:textId="5925A85E" w:rsidR="006565FE" w:rsidRPr="00801CF6" w:rsidRDefault="006565FE" w:rsidP="00225A29">
      <w:pPr>
        <w:pStyle w:val="ListParagraph"/>
        <w:numPr>
          <w:ilvl w:val="0"/>
          <w:numId w:val="3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Assuming that medical literature is a source or factor, the evidentiary standards for inclusion of medical literature</w:t>
      </w:r>
      <w:r w:rsidR="00F40B96" w:rsidRPr="00801CF6">
        <w:rPr>
          <w:rFonts w:ascii="Times New Roman" w:eastAsia="Times New Roman" w:hAnsi="Times New Roman" w:cs="Times New Roman"/>
          <w:color w:val="000000"/>
          <w:sz w:val="24"/>
          <w:szCs w:val="24"/>
        </w:rPr>
        <w:t xml:space="preserve"> in the review process;</w:t>
      </w:r>
    </w:p>
    <w:p w14:paraId="3635CC4A" w14:textId="77777777" w:rsidR="00C51A48" w:rsidRDefault="00F40B96" w:rsidP="00E02C00">
      <w:pPr>
        <w:pStyle w:val="ListParagraph"/>
        <w:numPr>
          <w:ilvl w:val="0"/>
          <w:numId w:val="3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Selection of the individuals </w:t>
      </w:r>
      <w:r w:rsidR="004E6D80">
        <w:rPr>
          <w:rFonts w:ascii="Times New Roman" w:eastAsia="Times New Roman" w:hAnsi="Times New Roman" w:cs="Times New Roman"/>
          <w:color w:val="000000"/>
          <w:sz w:val="24"/>
          <w:szCs w:val="24"/>
        </w:rPr>
        <w:t xml:space="preserve">or entity </w:t>
      </w:r>
      <w:r w:rsidRPr="00801CF6">
        <w:rPr>
          <w:rFonts w:ascii="Times New Roman" w:eastAsia="Times New Roman" w:hAnsi="Times New Roman" w:cs="Times New Roman"/>
          <w:color w:val="000000"/>
          <w:sz w:val="24"/>
          <w:szCs w:val="24"/>
        </w:rPr>
        <w:t>making the determination of whet</w:t>
      </w:r>
      <w:r w:rsidR="004E6D80">
        <w:rPr>
          <w:rFonts w:ascii="Times New Roman" w:eastAsia="Times New Roman" w:hAnsi="Times New Roman" w:cs="Times New Roman"/>
          <w:color w:val="000000"/>
          <w:sz w:val="24"/>
          <w:szCs w:val="24"/>
        </w:rPr>
        <w:t>her a treatment will be covered</w:t>
      </w:r>
      <w:r w:rsidRPr="00801CF6">
        <w:rPr>
          <w:rFonts w:ascii="Times New Roman" w:eastAsia="Times New Roman" w:hAnsi="Times New Roman" w:cs="Times New Roman"/>
          <w:color w:val="000000"/>
          <w:sz w:val="24"/>
          <w:szCs w:val="24"/>
        </w:rPr>
        <w:t xml:space="preserve"> or </w:t>
      </w:r>
      <w:r w:rsidR="00AE4898">
        <w:rPr>
          <w:rFonts w:ascii="Times New Roman" w:eastAsia="Times New Roman" w:hAnsi="Times New Roman" w:cs="Times New Roman"/>
          <w:color w:val="000000"/>
          <w:sz w:val="24"/>
          <w:szCs w:val="24"/>
        </w:rPr>
        <w:t xml:space="preserve">not covered based on </w:t>
      </w:r>
      <w:r w:rsidRPr="00801CF6">
        <w:rPr>
          <w:rFonts w:ascii="Times New Roman" w:eastAsia="Times New Roman" w:hAnsi="Times New Roman" w:cs="Times New Roman"/>
          <w:color w:val="000000"/>
          <w:sz w:val="24"/>
          <w:szCs w:val="24"/>
        </w:rPr>
        <w:t xml:space="preserve">EIU, and for which conditions </w:t>
      </w:r>
      <w:r w:rsidR="004E6D80">
        <w:rPr>
          <w:rFonts w:ascii="Times New Roman" w:eastAsia="Times New Roman" w:hAnsi="Times New Roman" w:cs="Times New Roman"/>
          <w:color w:val="000000"/>
          <w:sz w:val="24"/>
          <w:szCs w:val="24"/>
        </w:rPr>
        <w:t>or severity of those conditions; and</w:t>
      </w:r>
    </w:p>
    <w:p w14:paraId="09D30E33" w14:textId="26C03173" w:rsidR="004B6C4C" w:rsidRPr="00C51A48" w:rsidRDefault="00E23BB7" w:rsidP="00225A29">
      <w:pPr>
        <w:pStyle w:val="ListParagraph"/>
        <w:numPr>
          <w:ilvl w:val="0"/>
          <w:numId w:val="32"/>
        </w:numPr>
        <w:pBdr>
          <w:top w:val="nil"/>
          <w:left w:val="nil"/>
          <w:bottom w:val="nil"/>
          <w:right w:val="nil"/>
          <w:between w:val="nil"/>
        </w:pBdr>
        <w:spacing w:after="0"/>
        <w:ind w:left="1080"/>
        <w:rPr>
          <w:rFonts w:ascii="Times New Roman" w:eastAsia="Times New Roman" w:hAnsi="Times New Roman" w:cs="Times New Roman"/>
          <w:color w:val="000000"/>
          <w:sz w:val="24"/>
          <w:szCs w:val="24"/>
        </w:rPr>
      </w:pPr>
      <w:r w:rsidRPr="00C51A48">
        <w:rPr>
          <w:rFonts w:ascii="Times New Roman" w:eastAsia="Times New Roman" w:hAnsi="Times New Roman" w:cs="Times New Roman"/>
          <w:color w:val="000000"/>
          <w:sz w:val="24"/>
          <w:szCs w:val="24"/>
        </w:rPr>
        <w:t>How the carrier evaluates</w:t>
      </w:r>
      <w:r w:rsidR="004A545C" w:rsidRPr="00C51A48">
        <w:rPr>
          <w:rFonts w:ascii="Times New Roman" w:eastAsia="Times New Roman" w:hAnsi="Times New Roman" w:cs="Times New Roman"/>
          <w:color w:val="000000"/>
          <w:sz w:val="24"/>
          <w:szCs w:val="24"/>
        </w:rPr>
        <w:t xml:space="preserve"> or determines</w:t>
      </w:r>
      <w:r w:rsidR="004B6C4C" w:rsidRPr="00C51A48">
        <w:rPr>
          <w:rFonts w:ascii="Times New Roman" w:eastAsia="Times New Roman" w:hAnsi="Times New Roman" w:cs="Times New Roman"/>
          <w:color w:val="000000"/>
          <w:sz w:val="24"/>
          <w:szCs w:val="24"/>
        </w:rPr>
        <w:t>:</w:t>
      </w:r>
      <w:r w:rsidRPr="00C51A48">
        <w:rPr>
          <w:rFonts w:ascii="Times New Roman" w:eastAsia="Times New Roman" w:hAnsi="Times New Roman" w:cs="Times New Roman"/>
          <w:color w:val="000000"/>
          <w:sz w:val="24"/>
          <w:szCs w:val="24"/>
        </w:rPr>
        <w:t xml:space="preserve"> </w:t>
      </w:r>
    </w:p>
    <w:p w14:paraId="5A07F9BB" w14:textId="77777777" w:rsidR="00C51A48" w:rsidRDefault="00E23BB7" w:rsidP="00E02C00">
      <w:pPr>
        <w:pStyle w:val="ListParagraph"/>
        <w:numPr>
          <w:ilvl w:val="0"/>
          <w:numId w:val="4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sidRPr="00C51A48">
        <w:rPr>
          <w:rFonts w:ascii="Times New Roman" w:eastAsia="Times New Roman" w:hAnsi="Times New Roman" w:cs="Times New Roman"/>
          <w:color w:val="000000"/>
          <w:sz w:val="24"/>
          <w:szCs w:val="24"/>
        </w:rPr>
        <w:t>whether to cover a new</w:t>
      </w:r>
      <w:r w:rsidR="004B6C4C" w:rsidRPr="00C51A48">
        <w:rPr>
          <w:rFonts w:ascii="Times New Roman" w:eastAsia="Times New Roman" w:hAnsi="Times New Roman" w:cs="Times New Roman"/>
          <w:color w:val="000000"/>
          <w:sz w:val="24"/>
          <w:szCs w:val="24"/>
        </w:rPr>
        <w:t xml:space="preserve"> or emerging</w:t>
      </w:r>
      <w:r w:rsidRPr="00C51A48">
        <w:rPr>
          <w:rFonts w:ascii="Times New Roman" w:eastAsia="Times New Roman" w:hAnsi="Times New Roman" w:cs="Times New Roman"/>
          <w:color w:val="000000"/>
          <w:sz w:val="24"/>
          <w:szCs w:val="24"/>
        </w:rPr>
        <w:t xml:space="preserve"> treatment</w:t>
      </w:r>
      <w:r w:rsidR="009C4D6E" w:rsidRPr="00C51A48">
        <w:rPr>
          <w:rFonts w:ascii="Times New Roman" w:eastAsia="Times New Roman" w:hAnsi="Times New Roman" w:cs="Times New Roman"/>
          <w:color w:val="000000"/>
          <w:sz w:val="24"/>
          <w:szCs w:val="24"/>
        </w:rPr>
        <w:t>;</w:t>
      </w:r>
    </w:p>
    <w:p w14:paraId="3A6C430E" w14:textId="77777777" w:rsidR="00C51A48" w:rsidRDefault="00E23BB7" w:rsidP="00E02C00">
      <w:pPr>
        <w:pStyle w:val="ListParagraph"/>
        <w:numPr>
          <w:ilvl w:val="0"/>
          <w:numId w:val="4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sidRPr="00C51A48">
        <w:rPr>
          <w:rFonts w:ascii="Times New Roman" w:eastAsia="Times New Roman" w:hAnsi="Times New Roman" w:cs="Times New Roman"/>
          <w:color w:val="000000"/>
          <w:sz w:val="24"/>
          <w:szCs w:val="24"/>
        </w:rPr>
        <w:t>how that information about the treatment is sufficient to begin covering the treatment</w:t>
      </w:r>
      <w:r w:rsidR="009C4D6E" w:rsidRPr="00C51A48">
        <w:rPr>
          <w:rFonts w:ascii="Times New Roman" w:eastAsia="Times New Roman" w:hAnsi="Times New Roman" w:cs="Times New Roman"/>
          <w:color w:val="000000"/>
          <w:sz w:val="24"/>
          <w:szCs w:val="24"/>
        </w:rPr>
        <w:t>;</w:t>
      </w:r>
    </w:p>
    <w:p w14:paraId="45613047" w14:textId="77777777" w:rsidR="00C51A48" w:rsidRDefault="009C4D6E" w:rsidP="00E02C00">
      <w:pPr>
        <w:pStyle w:val="ListParagraph"/>
        <w:numPr>
          <w:ilvl w:val="0"/>
          <w:numId w:val="4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sidRPr="00C51A48">
        <w:rPr>
          <w:rFonts w:ascii="Times New Roman" w:eastAsia="Times New Roman" w:hAnsi="Times New Roman" w:cs="Times New Roman"/>
          <w:color w:val="000000"/>
          <w:sz w:val="24"/>
          <w:szCs w:val="24"/>
        </w:rPr>
        <w:t xml:space="preserve">whether to stop covering previously covered treatments; </w:t>
      </w:r>
      <w:r w:rsidR="00C51A48" w:rsidRPr="00C51A48">
        <w:rPr>
          <w:rFonts w:ascii="Times New Roman" w:eastAsia="Times New Roman" w:hAnsi="Times New Roman" w:cs="Times New Roman"/>
          <w:color w:val="000000"/>
          <w:sz w:val="24"/>
          <w:szCs w:val="24"/>
        </w:rPr>
        <w:t>and</w:t>
      </w:r>
    </w:p>
    <w:p w14:paraId="790B4C29" w14:textId="5BD99620" w:rsidR="004B6C4C" w:rsidRPr="00C51A48" w:rsidRDefault="00BE03D5" w:rsidP="00E02C00">
      <w:pPr>
        <w:pStyle w:val="ListParagraph"/>
        <w:numPr>
          <w:ilvl w:val="0"/>
          <w:numId w:val="4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sidRPr="00C51A48">
        <w:rPr>
          <w:rFonts w:ascii="Times New Roman" w:eastAsia="Times New Roman" w:hAnsi="Times New Roman" w:cs="Times New Roman"/>
          <w:color w:val="000000"/>
          <w:sz w:val="24"/>
          <w:szCs w:val="24"/>
        </w:rPr>
        <w:t>whether to start covering previously excluded treatments</w:t>
      </w:r>
      <w:r w:rsidR="00BC3D2B" w:rsidRPr="00C51A48">
        <w:rPr>
          <w:rFonts w:ascii="Times New Roman" w:eastAsia="Times New Roman" w:hAnsi="Times New Roman" w:cs="Times New Roman"/>
          <w:color w:val="000000"/>
          <w:sz w:val="24"/>
          <w:szCs w:val="24"/>
        </w:rPr>
        <w:t>.</w:t>
      </w:r>
    </w:p>
    <w:p w14:paraId="53161A1E" w14:textId="77777777" w:rsidR="00C51A48" w:rsidRDefault="00C51A48" w:rsidP="009C4821">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60409605" w14:textId="67259C7A" w:rsidR="003B3000" w:rsidRPr="00801CF6" w:rsidRDefault="003B3000"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Carriers must provide the information listed below for each of three categories in all applicable benefit classifications</w:t>
      </w:r>
      <w:r w:rsidR="00302DDE">
        <w:rPr>
          <w:rFonts w:ascii="Times New Roman" w:eastAsia="Times New Roman" w:hAnsi="Times New Roman" w:cs="Times New Roman"/>
          <w:color w:val="000000"/>
          <w:sz w:val="24"/>
          <w:szCs w:val="24"/>
        </w:rPr>
        <w:t xml:space="preserve"> or sub-classifications</w:t>
      </w:r>
      <w:r>
        <w:rPr>
          <w:rFonts w:ascii="Times New Roman" w:eastAsia="Times New Roman" w:hAnsi="Times New Roman" w:cs="Times New Roman"/>
          <w:color w:val="000000"/>
          <w:sz w:val="24"/>
          <w:szCs w:val="24"/>
        </w:rPr>
        <w:t>. The three categories are:</w:t>
      </w:r>
    </w:p>
    <w:p w14:paraId="4F714895" w14:textId="79A5D9FC" w:rsidR="00971D0A" w:rsidRPr="00801CF6" w:rsidRDefault="004A545C" w:rsidP="00E02C00">
      <w:pPr>
        <w:pStyle w:val="ListParagraph"/>
        <w:numPr>
          <w:ilvl w:val="0"/>
          <w:numId w:val="23"/>
        </w:numPr>
        <w:pBdr>
          <w:top w:val="nil"/>
          <w:left w:val="nil"/>
          <w:bottom w:val="nil"/>
          <w:right w:val="nil"/>
          <w:between w:val="nil"/>
        </w:pBdr>
        <w:spacing w:after="0"/>
        <w:ind w:left="14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Prescription m</w:t>
      </w:r>
      <w:r w:rsidR="00971D0A" w:rsidRPr="00801CF6">
        <w:rPr>
          <w:rFonts w:ascii="Times New Roman" w:eastAsia="Times New Roman" w:hAnsi="Times New Roman" w:cs="Times New Roman"/>
          <w:color w:val="000000"/>
          <w:sz w:val="24"/>
          <w:szCs w:val="24"/>
        </w:rPr>
        <w:t>edications;</w:t>
      </w:r>
    </w:p>
    <w:p w14:paraId="47FA6507" w14:textId="77777777" w:rsidR="00971D0A" w:rsidRPr="00801CF6" w:rsidRDefault="00971D0A" w:rsidP="00E02C00">
      <w:pPr>
        <w:pStyle w:val="ListParagraph"/>
        <w:numPr>
          <w:ilvl w:val="0"/>
          <w:numId w:val="23"/>
        </w:numPr>
        <w:pBdr>
          <w:top w:val="nil"/>
          <w:left w:val="nil"/>
          <w:bottom w:val="nil"/>
          <w:right w:val="nil"/>
          <w:between w:val="nil"/>
        </w:pBdr>
        <w:spacing w:after="0"/>
        <w:ind w:left="1440"/>
        <w:jc w:val="left"/>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Devices (as defined by the FDA)</w:t>
      </w:r>
      <w:r>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 and</w:t>
      </w:r>
    </w:p>
    <w:p w14:paraId="6C02A2C5" w14:textId="6AA8838B" w:rsidR="00971D0A" w:rsidRPr="00801CF6" w:rsidRDefault="006E2254" w:rsidP="00E02C00">
      <w:pPr>
        <w:pStyle w:val="ListParagraph"/>
        <w:numPr>
          <w:ilvl w:val="0"/>
          <w:numId w:val="23"/>
        </w:numPr>
        <w:pBdr>
          <w:top w:val="nil"/>
          <w:left w:val="nil"/>
          <w:bottom w:val="nil"/>
          <w:right w:val="nil"/>
          <w:between w:val="nil"/>
        </w:pBdr>
        <w:spacing w:after="0"/>
        <w:ind w:left="14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t</w:t>
      </w:r>
      <w:r w:rsidR="00971D0A" w:rsidRPr="00801CF6">
        <w:rPr>
          <w:rFonts w:ascii="Times New Roman" w:eastAsia="Times New Roman" w:hAnsi="Times New Roman" w:cs="Times New Roman"/>
          <w:color w:val="000000"/>
          <w:sz w:val="24"/>
          <w:szCs w:val="24"/>
        </w:rPr>
        <w:t>reatment services, including inpatient facility, outpatient facility, and professional services</w:t>
      </w:r>
      <w:r w:rsidR="00514DDD">
        <w:rPr>
          <w:rFonts w:ascii="Times New Roman" w:eastAsia="Times New Roman" w:hAnsi="Times New Roman" w:cs="Times New Roman"/>
          <w:color w:val="000000"/>
          <w:sz w:val="24"/>
          <w:szCs w:val="24"/>
        </w:rPr>
        <w:t xml:space="preserve"> - office</w:t>
      </w:r>
      <w:r w:rsidR="00971D0A" w:rsidRPr="00801CF6">
        <w:rPr>
          <w:rFonts w:ascii="Times New Roman" w:eastAsia="Times New Roman" w:hAnsi="Times New Roman" w:cs="Times New Roman"/>
          <w:color w:val="000000"/>
          <w:sz w:val="24"/>
          <w:szCs w:val="24"/>
        </w:rPr>
        <w:t xml:space="preserve"> (excluding</w:t>
      </w:r>
      <w:r w:rsidR="004A545C">
        <w:rPr>
          <w:rFonts w:ascii="Times New Roman" w:eastAsia="Times New Roman" w:hAnsi="Times New Roman" w:cs="Times New Roman"/>
          <w:color w:val="000000"/>
          <w:sz w:val="24"/>
          <w:szCs w:val="24"/>
        </w:rPr>
        <w:t xml:space="preserve"> prescription</w:t>
      </w:r>
      <w:r w:rsidR="00971D0A" w:rsidRPr="00801CF6">
        <w:rPr>
          <w:rFonts w:ascii="Times New Roman" w:eastAsia="Times New Roman" w:hAnsi="Times New Roman" w:cs="Times New Roman"/>
          <w:color w:val="000000"/>
          <w:sz w:val="24"/>
          <w:szCs w:val="24"/>
        </w:rPr>
        <w:t xml:space="preserve"> medications and devices)</w:t>
      </w:r>
      <w:r w:rsidR="00971D0A">
        <w:rPr>
          <w:rFonts w:ascii="Times New Roman" w:eastAsia="Times New Roman" w:hAnsi="Times New Roman" w:cs="Times New Roman"/>
          <w:color w:val="000000"/>
          <w:sz w:val="24"/>
          <w:szCs w:val="24"/>
        </w:rPr>
        <w:t>.</w:t>
      </w:r>
      <w:r w:rsidR="00971D0A" w:rsidRPr="00801CF6">
        <w:rPr>
          <w:rFonts w:ascii="Times New Roman" w:eastAsia="Times New Roman" w:hAnsi="Times New Roman" w:cs="Times New Roman"/>
          <w:color w:val="000000"/>
          <w:sz w:val="24"/>
          <w:szCs w:val="24"/>
        </w:rPr>
        <w:t xml:space="preserve">   </w:t>
      </w:r>
    </w:p>
    <w:p w14:paraId="1ADADDDE" w14:textId="63B18DF7" w:rsidR="00B122C9" w:rsidRDefault="005F57E1" w:rsidP="009C4821">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 xml:space="preserve"> </w:t>
      </w:r>
    </w:p>
    <w:p w14:paraId="1AEB2B22" w14:textId="2DA02E06" w:rsidR="004E6D80" w:rsidRDefault="003B3000" w:rsidP="00E02C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required</w:t>
      </w:r>
      <w:r w:rsidR="00971D0A" w:rsidRPr="004B6C4C">
        <w:rPr>
          <w:rFonts w:ascii="Times New Roman" w:eastAsia="Times New Roman" w:hAnsi="Times New Roman" w:cs="Times New Roman"/>
          <w:color w:val="000000"/>
          <w:sz w:val="24"/>
          <w:szCs w:val="24"/>
        </w:rPr>
        <w:t xml:space="preserve"> information</w:t>
      </w:r>
      <w:r>
        <w:rPr>
          <w:rFonts w:ascii="Times New Roman" w:eastAsia="Times New Roman" w:hAnsi="Times New Roman" w:cs="Times New Roman"/>
          <w:color w:val="000000"/>
          <w:sz w:val="24"/>
          <w:szCs w:val="24"/>
        </w:rPr>
        <w:t xml:space="preserve"> is</w:t>
      </w:r>
      <w:r w:rsidR="00971D0A" w:rsidRPr="004B6C4C">
        <w:rPr>
          <w:rFonts w:ascii="Times New Roman" w:eastAsia="Times New Roman" w:hAnsi="Times New Roman" w:cs="Times New Roman"/>
          <w:color w:val="000000"/>
          <w:sz w:val="24"/>
          <w:szCs w:val="24"/>
        </w:rPr>
        <w:t>:  </w:t>
      </w:r>
    </w:p>
    <w:p w14:paraId="0E5474A3" w14:textId="7767FB4A" w:rsidR="00B122C9" w:rsidRPr="003670A7" w:rsidRDefault="004E6D80" w:rsidP="00E02C00">
      <w:pPr>
        <w:pStyle w:val="ListParagraph"/>
        <w:numPr>
          <w:ilvl w:val="0"/>
          <w:numId w:val="3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930AA" w:rsidRPr="003670A7">
        <w:rPr>
          <w:rFonts w:ascii="Times New Roman" w:eastAsia="Times New Roman" w:hAnsi="Times New Roman" w:cs="Times New Roman"/>
          <w:color w:val="000000"/>
          <w:sz w:val="24"/>
          <w:szCs w:val="24"/>
        </w:rPr>
        <w:t>he</w:t>
      </w:r>
      <w:r w:rsidR="00152322" w:rsidRPr="003670A7">
        <w:rPr>
          <w:rFonts w:ascii="Times New Roman" w:eastAsia="Times New Roman" w:hAnsi="Times New Roman" w:cs="Times New Roman"/>
          <w:color w:val="000000"/>
          <w:sz w:val="24"/>
          <w:szCs w:val="24"/>
        </w:rPr>
        <w:t xml:space="preserve"> carrier’s</w:t>
      </w:r>
      <w:r w:rsidR="00A930AA" w:rsidRPr="003670A7">
        <w:rPr>
          <w:rFonts w:ascii="Times New Roman" w:eastAsia="Times New Roman" w:hAnsi="Times New Roman" w:cs="Times New Roman"/>
          <w:color w:val="000000"/>
          <w:sz w:val="24"/>
          <w:szCs w:val="24"/>
        </w:rPr>
        <w:t xml:space="preserve"> definition</w:t>
      </w:r>
      <w:r w:rsidR="00E908DD" w:rsidRPr="003670A7">
        <w:rPr>
          <w:rFonts w:ascii="Times New Roman" w:eastAsia="Times New Roman" w:hAnsi="Times New Roman" w:cs="Times New Roman"/>
          <w:color w:val="000000"/>
          <w:sz w:val="24"/>
          <w:szCs w:val="24"/>
        </w:rPr>
        <w:t xml:space="preserve"> for EIU</w:t>
      </w:r>
      <w:r w:rsidR="003670A7">
        <w:rPr>
          <w:rFonts w:ascii="Times New Roman" w:eastAsia="Times New Roman" w:hAnsi="Times New Roman" w:cs="Times New Roman"/>
          <w:color w:val="000000"/>
          <w:sz w:val="24"/>
          <w:szCs w:val="24"/>
        </w:rPr>
        <w:t>;</w:t>
      </w:r>
      <w:r w:rsidR="00A930AA" w:rsidRPr="003670A7">
        <w:rPr>
          <w:rFonts w:ascii="Times New Roman" w:eastAsia="Times New Roman" w:hAnsi="Times New Roman" w:cs="Times New Roman"/>
          <w:color w:val="000000"/>
          <w:sz w:val="24"/>
          <w:szCs w:val="24"/>
        </w:rPr>
        <w:t xml:space="preserve"> </w:t>
      </w:r>
    </w:p>
    <w:p w14:paraId="5DEE7398" w14:textId="2BC3D4E2" w:rsidR="00B122C9" w:rsidRPr="003670A7" w:rsidRDefault="004E6D80" w:rsidP="00E02C00">
      <w:pPr>
        <w:pStyle w:val="ListParagraph"/>
        <w:numPr>
          <w:ilvl w:val="0"/>
          <w:numId w:val="3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7F5F86" w:rsidRPr="003670A7">
        <w:rPr>
          <w:rFonts w:ascii="Times New Roman" w:eastAsia="Times New Roman" w:hAnsi="Times New Roman" w:cs="Times New Roman"/>
          <w:color w:val="000000"/>
          <w:sz w:val="24"/>
          <w:szCs w:val="24"/>
        </w:rPr>
        <w:t xml:space="preserve">he </w:t>
      </w:r>
      <w:r w:rsidR="00A930AA" w:rsidRPr="003670A7">
        <w:rPr>
          <w:rFonts w:ascii="Times New Roman" w:eastAsia="Times New Roman" w:hAnsi="Times New Roman" w:cs="Times New Roman"/>
          <w:color w:val="000000"/>
          <w:sz w:val="24"/>
          <w:szCs w:val="24"/>
        </w:rPr>
        <w:t>process for assessment</w:t>
      </w:r>
      <w:r w:rsidR="00E908DD" w:rsidRPr="003670A7">
        <w:rPr>
          <w:rFonts w:ascii="Times New Roman" w:eastAsia="Times New Roman" w:hAnsi="Times New Roman" w:cs="Times New Roman"/>
          <w:color w:val="000000"/>
          <w:sz w:val="24"/>
          <w:szCs w:val="24"/>
        </w:rPr>
        <w:t xml:space="preserve"> of whether the medication, device</w:t>
      </w:r>
      <w:r w:rsidR="00152322" w:rsidRPr="003670A7">
        <w:rPr>
          <w:rFonts w:ascii="Times New Roman" w:eastAsia="Times New Roman" w:hAnsi="Times New Roman" w:cs="Times New Roman"/>
          <w:color w:val="000000"/>
          <w:sz w:val="24"/>
          <w:szCs w:val="24"/>
        </w:rPr>
        <w:t>,</w:t>
      </w:r>
      <w:r w:rsidR="00E908DD" w:rsidRPr="003670A7">
        <w:rPr>
          <w:rFonts w:ascii="Times New Roman" w:eastAsia="Times New Roman" w:hAnsi="Times New Roman" w:cs="Times New Roman"/>
          <w:color w:val="000000"/>
          <w:sz w:val="24"/>
          <w:szCs w:val="24"/>
        </w:rPr>
        <w:t xml:space="preserve"> or treatment is determined to be EIU</w:t>
      </w:r>
      <w:r w:rsidR="003670A7">
        <w:rPr>
          <w:rFonts w:ascii="Times New Roman" w:eastAsia="Times New Roman" w:hAnsi="Times New Roman" w:cs="Times New Roman"/>
          <w:color w:val="000000"/>
          <w:sz w:val="24"/>
          <w:szCs w:val="24"/>
        </w:rPr>
        <w:t>;</w:t>
      </w:r>
      <w:r w:rsidR="00A930AA" w:rsidRPr="003670A7">
        <w:rPr>
          <w:rFonts w:ascii="Times New Roman" w:eastAsia="Times New Roman" w:hAnsi="Times New Roman" w:cs="Times New Roman"/>
          <w:color w:val="000000"/>
          <w:sz w:val="24"/>
          <w:szCs w:val="24"/>
        </w:rPr>
        <w:t xml:space="preserve"> </w:t>
      </w:r>
    </w:p>
    <w:p w14:paraId="1D050071" w14:textId="10A7D5A7" w:rsidR="00B122C9" w:rsidRPr="003670A7" w:rsidRDefault="004E6D80" w:rsidP="00E02C00">
      <w:pPr>
        <w:pStyle w:val="ListParagraph"/>
        <w:numPr>
          <w:ilvl w:val="0"/>
          <w:numId w:val="3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152322" w:rsidRPr="003670A7">
        <w:rPr>
          <w:rFonts w:ascii="Times New Roman" w:eastAsia="Times New Roman" w:hAnsi="Times New Roman" w:cs="Times New Roman"/>
          <w:color w:val="000000"/>
          <w:sz w:val="24"/>
          <w:szCs w:val="24"/>
        </w:rPr>
        <w:t xml:space="preserve">he </w:t>
      </w:r>
      <w:r w:rsidR="00A930AA" w:rsidRPr="003670A7">
        <w:rPr>
          <w:rFonts w:ascii="Times New Roman" w:eastAsia="Times New Roman" w:hAnsi="Times New Roman" w:cs="Times New Roman"/>
          <w:color w:val="000000"/>
          <w:sz w:val="24"/>
          <w:szCs w:val="24"/>
        </w:rPr>
        <w:t xml:space="preserve">qualifications of </w:t>
      </w:r>
      <w:r w:rsidR="009F5C43" w:rsidRPr="003670A7">
        <w:rPr>
          <w:rFonts w:ascii="Times New Roman" w:eastAsia="Times New Roman" w:hAnsi="Times New Roman" w:cs="Times New Roman"/>
          <w:color w:val="000000"/>
          <w:sz w:val="24"/>
          <w:szCs w:val="24"/>
        </w:rPr>
        <w:t xml:space="preserve">the </w:t>
      </w:r>
      <w:r w:rsidR="007F5F86" w:rsidRPr="003670A7">
        <w:rPr>
          <w:rFonts w:ascii="Times New Roman" w:eastAsia="Times New Roman" w:hAnsi="Times New Roman" w:cs="Times New Roman"/>
          <w:color w:val="000000"/>
          <w:sz w:val="24"/>
          <w:szCs w:val="24"/>
        </w:rPr>
        <w:t>person or entity</w:t>
      </w:r>
      <w:r w:rsidR="00A930AA" w:rsidRPr="003670A7">
        <w:rPr>
          <w:rFonts w:ascii="Times New Roman" w:eastAsia="Times New Roman" w:hAnsi="Times New Roman" w:cs="Times New Roman"/>
          <w:color w:val="000000"/>
          <w:sz w:val="24"/>
          <w:szCs w:val="24"/>
        </w:rPr>
        <w:t xml:space="preserve"> making the assessment</w:t>
      </w:r>
      <w:r w:rsidR="003670A7">
        <w:rPr>
          <w:rFonts w:ascii="Times New Roman" w:eastAsia="Times New Roman" w:hAnsi="Times New Roman" w:cs="Times New Roman"/>
          <w:color w:val="000000"/>
          <w:sz w:val="24"/>
          <w:szCs w:val="24"/>
        </w:rPr>
        <w:t>;</w:t>
      </w:r>
    </w:p>
    <w:p w14:paraId="082B96E5" w14:textId="4A528675" w:rsidR="003670A7" w:rsidRDefault="004E6D80" w:rsidP="00E02C00">
      <w:pPr>
        <w:pStyle w:val="ListParagraph"/>
        <w:numPr>
          <w:ilvl w:val="0"/>
          <w:numId w:val="3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930AA" w:rsidRPr="003670A7">
        <w:rPr>
          <w:rFonts w:ascii="Times New Roman" w:eastAsia="Times New Roman" w:hAnsi="Times New Roman" w:cs="Times New Roman"/>
          <w:color w:val="000000"/>
          <w:sz w:val="24"/>
          <w:szCs w:val="24"/>
        </w:rPr>
        <w:t>he evidence</w:t>
      </w:r>
      <w:r w:rsidR="00E908DD" w:rsidRPr="003670A7">
        <w:rPr>
          <w:rFonts w:ascii="Times New Roman" w:eastAsia="Times New Roman" w:hAnsi="Times New Roman" w:cs="Times New Roman"/>
          <w:color w:val="000000"/>
          <w:sz w:val="24"/>
          <w:szCs w:val="24"/>
        </w:rPr>
        <w:t>, criteria</w:t>
      </w:r>
      <w:r w:rsidR="003670A7">
        <w:rPr>
          <w:rFonts w:ascii="Times New Roman" w:eastAsia="Times New Roman" w:hAnsi="Times New Roman" w:cs="Times New Roman"/>
          <w:color w:val="000000"/>
          <w:sz w:val="24"/>
          <w:szCs w:val="24"/>
        </w:rPr>
        <w:t>,</w:t>
      </w:r>
      <w:r w:rsidR="00E908DD" w:rsidRPr="003670A7">
        <w:rPr>
          <w:rFonts w:ascii="Times New Roman" w:eastAsia="Times New Roman" w:hAnsi="Times New Roman" w:cs="Times New Roman"/>
          <w:color w:val="000000"/>
          <w:sz w:val="24"/>
          <w:szCs w:val="24"/>
        </w:rPr>
        <w:t xml:space="preserve"> and/or guidelines</w:t>
      </w:r>
      <w:r w:rsidR="00071156">
        <w:rPr>
          <w:rFonts w:ascii="Times New Roman" w:eastAsia="Times New Roman" w:hAnsi="Times New Roman" w:cs="Times New Roman"/>
          <w:color w:val="000000"/>
          <w:sz w:val="24"/>
          <w:szCs w:val="24"/>
        </w:rPr>
        <w:t xml:space="preserve"> (such as</w:t>
      </w:r>
      <w:r w:rsidR="004A545C">
        <w:rPr>
          <w:rFonts w:ascii="Times New Roman" w:eastAsia="Times New Roman" w:hAnsi="Times New Roman" w:cs="Times New Roman"/>
          <w:color w:val="000000"/>
          <w:sz w:val="24"/>
          <w:szCs w:val="24"/>
        </w:rPr>
        <w:t>,</w:t>
      </w:r>
      <w:r w:rsidR="00071156">
        <w:rPr>
          <w:rFonts w:ascii="Times New Roman" w:eastAsia="Times New Roman" w:hAnsi="Times New Roman" w:cs="Times New Roman"/>
          <w:color w:val="000000"/>
          <w:sz w:val="24"/>
          <w:szCs w:val="24"/>
        </w:rPr>
        <w:t xml:space="preserve"> InterQual, MCG, ASAM, LOCUS, CALOCUS, American Psychiatric Association guidelines, or any other independent externally developed criteria, guidelines, or professional best practices)</w:t>
      </w:r>
      <w:r w:rsidR="00E908DD" w:rsidRPr="003670A7">
        <w:rPr>
          <w:rFonts w:ascii="Times New Roman" w:eastAsia="Times New Roman" w:hAnsi="Times New Roman" w:cs="Times New Roman"/>
          <w:color w:val="000000"/>
          <w:sz w:val="24"/>
          <w:szCs w:val="24"/>
        </w:rPr>
        <w:t xml:space="preserve"> relied on and/or </w:t>
      </w:r>
      <w:r w:rsidR="00A930AA" w:rsidRPr="003670A7">
        <w:rPr>
          <w:rFonts w:ascii="Times New Roman" w:eastAsia="Times New Roman" w:hAnsi="Times New Roman" w:cs="Times New Roman"/>
          <w:color w:val="000000"/>
          <w:sz w:val="24"/>
          <w:szCs w:val="24"/>
        </w:rPr>
        <w:t>consulted</w:t>
      </w:r>
      <w:r w:rsidR="003963B9" w:rsidRPr="003670A7">
        <w:rPr>
          <w:rFonts w:ascii="Times New Roman" w:eastAsia="Times New Roman" w:hAnsi="Times New Roman" w:cs="Times New Roman"/>
          <w:color w:val="000000"/>
          <w:sz w:val="24"/>
          <w:szCs w:val="24"/>
        </w:rPr>
        <w:t xml:space="preserve"> to determine whether a service is </w:t>
      </w:r>
      <w:r w:rsidR="00E908DD" w:rsidRPr="003670A7">
        <w:rPr>
          <w:rFonts w:ascii="Times New Roman" w:eastAsia="Times New Roman" w:hAnsi="Times New Roman" w:cs="Times New Roman"/>
          <w:color w:val="000000"/>
          <w:sz w:val="24"/>
          <w:szCs w:val="24"/>
        </w:rPr>
        <w:t>EIU</w:t>
      </w:r>
      <w:r w:rsidR="003670A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6102A3FF" w14:textId="2A49FD11" w:rsidR="004E6D80" w:rsidRPr="004E6D80" w:rsidRDefault="004E6D80" w:rsidP="00E02C00">
      <w:pPr>
        <w:pStyle w:val="ListParagraph"/>
        <w:numPr>
          <w:ilvl w:val="0"/>
          <w:numId w:val="3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sidRPr="004E6D80">
        <w:rPr>
          <w:rFonts w:ascii="Times New Roman" w:eastAsia="Times New Roman" w:hAnsi="Times New Roman" w:cs="Times New Roman"/>
          <w:color w:val="000000"/>
          <w:sz w:val="24"/>
          <w:szCs w:val="24"/>
        </w:rPr>
        <w:t>An analysis of the comparability and stringency of internally developed criteria or guidelines with generally accepted standards of</w:t>
      </w:r>
      <w:r w:rsidR="00302DDE">
        <w:rPr>
          <w:rFonts w:ascii="Times New Roman" w:eastAsia="Times New Roman" w:hAnsi="Times New Roman" w:cs="Times New Roman"/>
          <w:color w:val="000000"/>
          <w:sz w:val="24"/>
          <w:szCs w:val="24"/>
        </w:rPr>
        <w:t xml:space="preserve"> medical care; </w:t>
      </w:r>
    </w:p>
    <w:p w14:paraId="4BB68793" w14:textId="2137A295" w:rsidR="00A930AA" w:rsidRDefault="008017D6" w:rsidP="00E02C00">
      <w:pPr>
        <w:pStyle w:val="ListParagraph"/>
        <w:numPr>
          <w:ilvl w:val="0"/>
          <w:numId w:val="3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930AA" w:rsidRPr="008017D6">
        <w:rPr>
          <w:rFonts w:ascii="Times New Roman" w:eastAsia="Times New Roman" w:hAnsi="Times New Roman" w:cs="Times New Roman"/>
          <w:color w:val="000000"/>
          <w:sz w:val="24"/>
          <w:szCs w:val="24"/>
        </w:rPr>
        <w:t>ny limitations on coverage based on EIU</w:t>
      </w:r>
      <w:r w:rsidR="009F5C43" w:rsidRPr="008017D6">
        <w:rPr>
          <w:rFonts w:ascii="Times New Roman" w:eastAsia="Times New Roman" w:hAnsi="Times New Roman" w:cs="Times New Roman"/>
          <w:color w:val="000000"/>
          <w:sz w:val="24"/>
          <w:szCs w:val="24"/>
        </w:rPr>
        <w:t>,</w:t>
      </w:r>
      <w:r w:rsidR="00A930AA" w:rsidRPr="008017D6">
        <w:rPr>
          <w:rFonts w:ascii="Times New Roman" w:eastAsia="Times New Roman" w:hAnsi="Times New Roman" w:cs="Times New Roman"/>
          <w:color w:val="000000"/>
          <w:sz w:val="24"/>
          <w:szCs w:val="24"/>
        </w:rPr>
        <w:t xml:space="preserve"> as well as non-coverage</w:t>
      </w:r>
      <w:r w:rsidR="009F5C43" w:rsidRPr="008017D6">
        <w:rPr>
          <w:rFonts w:ascii="Times New Roman" w:eastAsia="Times New Roman" w:hAnsi="Times New Roman" w:cs="Times New Roman"/>
          <w:color w:val="000000"/>
          <w:sz w:val="24"/>
          <w:szCs w:val="24"/>
        </w:rPr>
        <w:t>,</w:t>
      </w:r>
      <w:r w:rsidR="00643F48" w:rsidRPr="008017D6">
        <w:rPr>
          <w:rFonts w:ascii="Times New Roman" w:eastAsia="Times New Roman" w:hAnsi="Times New Roman" w:cs="Times New Roman"/>
          <w:color w:val="000000"/>
          <w:sz w:val="24"/>
          <w:szCs w:val="24"/>
        </w:rPr>
        <w:t xml:space="preserve"> </w:t>
      </w:r>
      <w:r w:rsidR="00C2793D" w:rsidRPr="008017D6">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color w:val="000000"/>
          <w:sz w:val="24"/>
          <w:szCs w:val="24"/>
        </w:rPr>
        <w:t xml:space="preserve"> </w:t>
      </w:r>
      <w:r w:rsidR="00945DD1">
        <w:rPr>
          <w:rFonts w:ascii="Times New Roman" w:eastAsia="Times New Roman" w:hAnsi="Times New Roman" w:cs="Times New Roman"/>
          <w:color w:val="000000"/>
          <w:sz w:val="24"/>
          <w:szCs w:val="24"/>
        </w:rPr>
        <w:t>prescription medication</w:t>
      </w:r>
      <w:r w:rsidR="006E2254">
        <w:rPr>
          <w:rFonts w:ascii="Times New Roman" w:eastAsia="Times New Roman" w:hAnsi="Times New Roman" w:cs="Times New Roman"/>
          <w:color w:val="000000"/>
          <w:sz w:val="24"/>
          <w:szCs w:val="24"/>
        </w:rPr>
        <w:t>s</w:t>
      </w:r>
      <w:r w:rsidR="00945DD1">
        <w:rPr>
          <w:rFonts w:ascii="Times New Roman" w:eastAsia="Times New Roman" w:hAnsi="Times New Roman" w:cs="Times New Roman"/>
          <w:color w:val="000000"/>
          <w:sz w:val="24"/>
          <w:szCs w:val="24"/>
        </w:rPr>
        <w:t>, devices, and treatments</w:t>
      </w:r>
      <w:r w:rsidR="003B3000">
        <w:rPr>
          <w:rFonts w:ascii="Times New Roman" w:eastAsia="Times New Roman" w:hAnsi="Times New Roman" w:cs="Times New Roman"/>
          <w:color w:val="000000"/>
          <w:sz w:val="24"/>
          <w:szCs w:val="24"/>
        </w:rPr>
        <w:t>;</w:t>
      </w:r>
      <w:r w:rsidR="00E02C00">
        <w:rPr>
          <w:rFonts w:ascii="Times New Roman" w:eastAsia="Times New Roman" w:hAnsi="Times New Roman" w:cs="Times New Roman"/>
          <w:color w:val="000000"/>
          <w:sz w:val="24"/>
          <w:szCs w:val="24"/>
        </w:rPr>
        <w:t xml:space="preserve"> </w:t>
      </w:r>
      <w:r w:rsidR="006E2254">
        <w:rPr>
          <w:rFonts w:ascii="Times New Roman" w:eastAsia="Times New Roman" w:hAnsi="Times New Roman" w:cs="Times New Roman"/>
          <w:color w:val="000000"/>
          <w:sz w:val="24"/>
          <w:szCs w:val="24"/>
        </w:rPr>
        <w:t>and</w:t>
      </w:r>
    </w:p>
    <w:p w14:paraId="76EEBB7F" w14:textId="7CD7FE80" w:rsidR="00971D0A" w:rsidRPr="008017D6" w:rsidRDefault="00971D0A" w:rsidP="00E02C00">
      <w:pPr>
        <w:pStyle w:val="ListParagraph"/>
        <w:numPr>
          <w:ilvl w:val="0"/>
          <w:numId w:val="36"/>
        </w:numPr>
        <w:pBdr>
          <w:top w:val="nil"/>
          <w:left w:val="nil"/>
          <w:bottom w:val="nil"/>
          <w:right w:val="nil"/>
          <w:between w:val="nil"/>
        </w:pBd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Timelines for the evaluation of EIU and </w:t>
      </w:r>
      <w:r w:rsidR="003B3000">
        <w:rPr>
          <w:rFonts w:ascii="Times New Roman" w:eastAsia="Times New Roman" w:hAnsi="Times New Roman" w:cs="Times New Roman"/>
          <w:color w:val="000000"/>
          <w:sz w:val="24"/>
          <w:szCs w:val="24"/>
        </w:rPr>
        <w:t xml:space="preserve">for the </w:t>
      </w:r>
      <w:r>
        <w:rPr>
          <w:rFonts w:ascii="Times New Roman" w:eastAsia="Times New Roman" w:hAnsi="Times New Roman" w:cs="Times New Roman"/>
          <w:color w:val="000000"/>
          <w:sz w:val="24"/>
          <w:szCs w:val="24"/>
        </w:rPr>
        <w:t xml:space="preserve">determination of coverage for </w:t>
      </w:r>
      <w:r w:rsidR="00945DD1">
        <w:rPr>
          <w:rFonts w:ascii="Times New Roman" w:eastAsia="Times New Roman" w:hAnsi="Times New Roman" w:cs="Times New Roman"/>
          <w:color w:val="000000"/>
          <w:sz w:val="24"/>
          <w:szCs w:val="24"/>
        </w:rPr>
        <w:t>prescription medication</w:t>
      </w:r>
      <w:r w:rsidR="006E2254">
        <w:rPr>
          <w:rFonts w:ascii="Times New Roman" w:eastAsia="Times New Roman" w:hAnsi="Times New Roman" w:cs="Times New Roman"/>
          <w:color w:val="000000"/>
          <w:sz w:val="24"/>
          <w:szCs w:val="24"/>
        </w:rPr>
        <w:t>s</w:t>
      </w:r>
      <w:r w:rsidR="00945DD1">
        <w:rPr>
          <w:rFonts w:ascii="Times New Roman" w:eastAsia="Times New Roman" w:hAnsi="Times New Roman" w:cs="Times New Roman"/>
          <w:color w:val="000000"/>
          <w:sz w:val="24"/>
          <w:szCs w:val="24"/>
        </w:rPr>
        <w:t>, devices, and</w:t>
      </w:r>
      <w:r w:rsidR="00AC5CFA">
        <w:rPr>
          <w:rFonts w:ascii="Times New Roman" w:eastAsia="Times New Roman" w:hAnsi="Times New Roman" w:cs="Times New Roman"/>
          <w:color w:val="000000"/>
          <w:sz w:val="24"/>
          <w:szCs w:val="24"/>
        </w:rPr>
        <w:t xml:space="preserve"> other</w:t>
      </w:r>
      <w:r w:rsidR="00945DD1">
        <w:rPr>
          <w:rFonts w:ascii="Times New Roman" w:eastAsia="Times New Roman" w:hAnsi="Times New Roman" w:cs="Times New Roman"/>
          <w:color w:val="000000"/>
          <w:sz w:val="24"/>
          <w:szCs w:val="24"/>
        </w:rPr>
        <w:t xml:space="preserve"> treatment</w:t>
      </w:r>
      <w:r w:rsidR="00AC5CFA">
        <w:rPr>
          <w:rFonts w:ascii="Times New Roman" w:eastAsia="Times New Roman" w:hAnsi="Times New Roman" w:cs="Times New Roman"/>
          <w:color w:val="000000"/>
          <w:sz w:val="24"/>
          <w:szCs w:val="24"/>
        </w:rPr>
        <w:t xml:space="preserve"> </w:t>
      </w:r>
      <w:r w:rsidR="00945DD1">
        <w:rPr>
          <w:rFonts w:ascii="Times New Roman" w:eastAsia="Times New Roman" w:hAnsi="Times New Roman" w:cs="Times New Roman"/>
          <w:color w:val="000000"/>
          <w:sz w:val="24"/>
          <w:szCs w:val="24"/>
        </w:rPr>
        <w:t>s</w:t>
      </w:r>
      <w:r w:rsidR="00AC5CFA">
        <w:rPr>
          <w:rFonts w:ascii="Times New Roman" w:eastAsia="Times New Roman" w:hAnsi="Times New Roman" w:cs="Times New Roman"/>
          <w:color w:val="000000"/>
          <w:sz w:val="24"/>
          <w:szCs w:val="24"/>
        </w:rPr>
        <w:t>ervices</w:t>
      </w:r>
      <w:r w:rsidR="003B3000">
        <w:rPr>
          <w:rFonts w:ascii="Times New Roman" w:eastAsia="Times New Roman" w:hAnsi="Times New Roman" w:cs="Times New Roman"/>
          <w:color w:val="000000"/>
          <w:sz w:val="24"/>
          <w:szCs w:val="24"/>
        </w:rPr>
        <w:t>.</w:t>
      </w:r>
    </w:p>
    <w:p w14:paraId="347BF070" w14:textId="06E92619" w:rsidR="00A930AA" w:rsidRDefault="00A930AA" w:rsidP="009C4821">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294970EF" w14:textId="0E400F25" w:rsidR="00137C4F" w:rsidRPr="00801CF6" w:rsidRDefault="00137C4F"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When completing Step 1(b) for each of the above, all medications, devices</w:t>
      </w:r>
      <w:r w:rsidR="00643F48" w:rsidRPr="00801CF6">
        <w:rPr>
          <w:rFonts w:ascii="Times New Roman" w:eastAsia="Times New Roman" w:hAnsi="Times New Roman" w:cs="Times New Roman"/>
          <w:color w:val="000000"/>
          <w:sz w:val="24"/>
          <w:szCs w:val="24"/>
        </w:rPr>
        <w:t xml:space="preserve">, </w:t>
      </w:r>
      <w:r w:rsidRPr="00801CF6">
        <w:rPr>
          <w:rFonts w:ascii="Times New Roman" w:eastAsia="Times New Roman" w:hAnsi="Times New Roman" w:cs="Times New Roman"/>
          <w:color w:val="000000"/>
          <w:sz w:val="24"/>
          <w:szCs w:val="24"/>
        </w:rPr>
        <w:t xml:space="preserve">and treatment services deemed EIU must be listed under the applicable benefit classification or sub-classification.  The services listed, and the categorization of a </w:t>
      </w:r>
      <w:r w:rsidR="000B53BD">
        <w:rPr>
          <w:rFonts w:ascii="Times New Roman" w:eastAsia="Times New Roman" w:hAnsi="Times New Roman" w:cs="Times New Roman"/>
          <w:color w:val="000000"/>
          <w:sz w:val="24"/>
          <w:szCs w:val="24"/>
        </w:rPr>
        <w:t>treatment</w:t>
      </w:r>
      <w:r w:rsidRPr="00801CF6">
        <w:rPr>
          <w:rFonts w:ascii="Times New Roman" w:eastAsia="Times New Roman" w:hAnsi="Times New Roman" w:cs="Times New Roman"/>
          <w:color w:val="000000"/>
          <w:sz w:val="24"/>
          <w:szCs w:val="24"/>
        </w:rPr>
        <w:t xml:space="preserve"> as either </w:t>
      </w:r>
      <w:r w:rsidR="00FA3D0B" w:rsidRPr="00801CF6">
        <w:rPr>
          <w:rFonts w:ascii="Times New Roman" w:eastAsia="Times New Roman" w:hAnsi="Times New Roman" w:cs="Times New Roman"/>
          <w:color w:val="000000"/>
          <w:sz w:val="24"/>
          <w:szCs w:val="24"/>
        </w:rPr>
        <w:t>medical/surgical</w:t>
      </w:r>
      <w:r w:rsidRPr="00801CF6">
        <w:rPr>
          <w:rFonts w:ascii="Times New Roman" w:eastAsia="Times New Roman" w:hAnsi="Times New Roman" w:cs="Times New Roman"/>
          <w:color w:val="000000"/>
          <w:sz w:val="24"/>
          <w:szCs w:val="24"/>
        </w:rPr>
        <w:t xml:space="preserve"> or MH/SUD, must be consistent with the Covered Service information provided in Step </w:t>
      </w:r>
      <w:r w:rsidR="003962C3" w:rsidRPr="00801CF6">
        <w:rPr>
          <w:rFonts w:ascii="Times New Roman" w:eastAsia="Times New Roman" w:hAnsi="Times New Roman" w:cs="Times New Roman"/>
          <w:color w:val="000000"/>
          <w:sz w:val="24"/>
          <w:szCs w:val="24"/>
        </w:rPr>
        <w:t xml:space="preserve">1 </w:t>
      </w:r>
      <w:r w:rsidRPr="00801CF6">
        <w:rPr>
          <w:rFonts w:ascii="Times New Roman" w:eastAsia="Times New Roman" w:hAnsi="Times New Roman" w:cs="Times New Roman"/>
          <w:color w:val="000000"/>
          <w:sz w:val="24"/>
          <w:szCs w:val="24"/>
        </w:rPr>
        <w:t xml:space="preserve">(a) of the Benefit Classifications section of the </w:t>
      </w:r>
      <w:r w:rsidR="008017D6">
        <w:rPr>
          <w:rFonts w:ascii="Times New Roman" w:eastAsia="Times New Roman" w:hAnsi="Times New Roman" w:cs="Times New Roman"/>
          <w:color w:val="000000"/>
          <w:sz w:val="24"/>
          <w:szCs w:val="24"/>
        </w:rPr>
        <w:t>NQTL Analysis Report T</w:t>
      </w:r>
      <w:r w:rsidRPr="00801CF6">
        <w:rPr>
          <w:rFonts w:ascii="Times New Roman" w:eastAsia="Times New Roman" w:hAnsi="Times New Roman" w:cs="Times New Roman"/>
          <w:color w:val="000000"/>
          <w:sz w:val="24"/>
          <w:szCs w:val="24"/>
        </w:rPr>
        <w:t>emplate.</w:t>
      </w:r>
    </w:p>
    <w:p w14:paraId="751F1E58" w14:textId="77777777" w:rsidR="00A535A1" w:rsidRPr="00801CF6" w:rsidRDefault="00A535A1" w:rsidP="00E02C00">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23458D84" w14:textId="4A91B211" w:rsidR="00F40B96" w:rsidRPr="00801CF6" w:rsidRDefault="00A535A1"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 4 must be submitted to support the in</w:t>
      </w:r>
      <w:r w:rsidR="004A545C">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operation comparative analysis under Step 5 for the </w:t>
      </w:r>
      <w:r w:rsidR="00CB0071" w:rsidRPr="00801CF6">
        <w:rPr>
          <w:rFonts w:ascii="Times New Roman" w:eastAsia="Times New Roman" w:hAnsi="Times New Roman" w:cs="Times New Roman"/>
          <w:color w:val="000000"/>
          <w:sz w:val="24"/>
          <w:szCs w:val="24"/>
        </w:rPr>
        <w:t>E</w:t>
      </w:r>
      <w:r w:rsidR="005B595D" w:rsidRPr="00801CF6">
        <w:rPr>
          <w:rFonts w:ascii="Times New Roman" w:eastAsia="Times New Roman" w:hAnsi="Times New Roman" w:cs="Times New Roman"/>
          <w:color w:val="000000"/>
          <w:sz w:val="24"/>
          <w:szCs w:val="24"/>
        </w:rPr>
        <w:t>xperimental/</w:t>
      </w:r>
      <w:r w:rsidR="00CB0071" w:rsidRPr="00801CF6">
        <w:rPr>
          <w:rFonts w:ascii="Times New Roman" w:eastAsia="Times New Roman" w:hAnsi="Times New Roman" w:cs="Times New Roman"/>
          <w:color w:val="000000"/>
          <w:sz w:val="24"/>
          <w:szCs w:val="24"/>
        </w:rPr>
        <w:t>I</w:t>
      </w:r>
      <w:r w:rsidR="005B595D" w:rsidRPr="00801CF6">
        <w:rPr>
          <w:rFonts w:ascii="Times New Roman" w:eastAsia="Times New Roman" w:hAnsi="Times New Roman" w:cs="Times New Roman"/>
          <w:color w:val="000000"/>
          <w:sz w:val="24"/>
          <w:szCs w:val="24"/>
        </w:rPr>
        <w:t>nvestigational/</w:t>
      </w:r>
      <w:r w:rsidR="00CB0071" w:rsidRPr="00801CF6">
        <w:rPr>
          <w:rFonts w:ascii="Times New Roman" w:eastAsia="Times New Roman" w:hAnsi="Times New Roman" w:cs="Times New Roman"/>
          <w:color w:val="000000"/>
          <w:sz w:val="24"/>
          <w:szCs w:val="24"/>
        </w:rPr>
        <w:t>U</w:t>
      </w:r>
      <w:r w:rsidR="005B595D" w:rsidRPr="00801CF6">
        <w:rPr>
          <w:rFonts w:ascii="Times New Roman" w:eastAsia="Times New Roman" w:hAnsi="Times New Roman" w:cs="Times New Roman"/>
          <w:color w:val="000000"/>
          <w:sz w:val="24"/>
          <w:szCs w:val="24"/>
        </w:rPr>
        <w:t>nproven</w:t>
      </w:r>
      <w:r w:rsidRPr="00801CF6">
        <w:rPr>
          <w:rFonts w:ascii="Times New Roman" w:eastAsia="Times New Roman" w:hAnsi="Times New Roman" w:cs="Times New Roman"/>
          <w:color w:val="000000"/>
          <w:sz w:val="24"/>
          <w:szCs w:val="24"/>
        </w:rPr>
        <w:t xml:space="preserve"> </w:t>
      </w:r>
      <w:r w:rsidR="006E2254">
        <w:rPr>
          <w:rFonts w:ascii="Times New Roman" w:eastAsia="Times New Roman" w:hAnsi="Times New Roman" w:cs="Times New Roman"/>
          <w:color w:val="000000"/>
          <w:sz w:val="24"/>
          <w:szCs w:val="24"/>
        </w:rPr>
        <w:t xml:space="preserve">Treatments </w:t>
      </w:r>
      <w:r w:rsidRPr="00801CF6">
        <w:rPr>
          <w:rFonts w:ascii="Times New Roman" w:eastAsia="Times New Roman" w:hAnsi="Times New Roman" w:cs="Times New Roman"/>
          <w:color w:val="000000"/>
          <w:sz w:val="24"/>
          <w:szCs w:val="24"/>
        </w:rPr>
        <w:t>NQTL</w:t>
      </w:r>
      <w:r w:rsidR="005B595D" w:rsidRPr="00801CF6">
        <w:rPr>
          <w:rFonts w:ascii="Times New Roman" w:eastAsia="Times New Roman" w:hAnsi="Times New Roman" w:cs="Times New Roman"/>
          <w:color w:val="000000"/>
          <w:sz w:val="24"/>
          <w:szCs w:val="24"/>
        </w:rPr>
        <w:t>.</w:t>
      </w:r>
    </w:p>
    <w:p w14:paraId="7B4A8DFD" w14:textId="77777777" w:rsidR="00DB10C0" w:rsidRPr="00801CF6" w:rsidRDefault="00DB10C0" w:rsidP="009C4821">
      <w:pPr>
        <w:pBdr>
          <w:top w:val="nil"/>
          <w:left w:val="nil"/>
          <w:bottom w:val="nil"/>
          <w:right w:val="nil"/>
          <w:between w:val="nil"/>
        </w:pBdr>
        <w:spacing w:after="0" w:line="240" w:lineRule="auto"/>
        <w:ind w:firstLine="0"/>
        <w:rPr>
          <w:rFonts w:ascii="Times New Roman" w:eastAsia="Times New Roman" w:hAnsi="Times New Roman" w:cs="Times New Roman"/>
          <w:color w:val="000000"/>
          <w:sz w:val="24"/>
          <w:szCs w:val="24"/>
        </w:rPr>
      </w:pPr>
    </w:p>
    <w:p w14:paraId="2845457E" w14:textId="537F00B6" w:rsidR="00DB10C0" w:rsidRPr="001B76EA" w:rsidRDefault="00271A0A" w:rsidP="00E02C00">
      <w:pPr>
        <w:pBdr>
          <w:top w:val="nil"/>
          <w:left w:val="nil"/>
          <w:bottom w:val="nil"/>
          <w:right w:val="nil"/>
          <w:between w:val="nil"/>
        </w:pBdr>
        <w:spacing w:after="0" w:line="240" w:lineRule="auto"/>
        <w:ind w:left="0" w:firstLine="0"/>
        <w:rPr>
          <w:rFonts w:ascii="Times New Roman" w:eastAsia="Times New Roman" w:hAnsi="Times New Roman" w:cs="Times New Roman"/>
          <w:b/>
          <w:color w:val="000000"/>
          <w:sz w:val="24"/>
          <w:szCs w:val="24"/>
          <w:u w:val="single"/>
        </w:rPr>
      </w:pPr>
      <w:r w:rsidRPr="001B76EA">
        <w:rPr>
          <w:rFonts w:ascii="Times New Roman" w:eastAsia="Times New Roman" w:hAnsi="Times New Roman" w:cs="Times New Roman"/>
          <w:b/>
          <w:bCs/>
          <w:color w:val="000000"/>
          <w:sz w:val="24"/>
          <w:szCs w:val="24"/>
          <w:u w:val="single"/>
        </w:rPr>
        <w:t>NQTL 5</w:t>
      </w:r>
      <w:r w:rsidR="001B76EA" w:rsidRPr="001B76EA">
        <w:rPr>
          <w:rFonts w:ascii="Times New Roman" w:eastAsia="Times New Roman" w:hAnsi="Times New Roman" w:cs="Times New Roman"/>
          <w:b/>
          <w:bCs/>
          <w:color w:val="000000"/>
          <w:sz w:val="24"/>
          <w:szCs w:val="24"/>
          <w:u w:val="single"/>
        </w:rPr>
        <w:t xml:space="preserve">: </w:t>
      </w:r>
      <w:r w:rsidRPr="001B76EA">
        <w:rPr>
          <w:rFonts w:ascii="Times New Roman" w:eastAsia="Times New Roman" w:hAnsi="Times New Roman" w:cs="Times New Roman"/>
          <w:b/>
          <w:color w:val="000000"/>
          <w:sz w:val="24"/>
          <w:szCs w:val="24"/>
          <w:u w:val="single"/>
        </w:rPr>
        <w:t xml:space="preserve">Medical Necessity </w:t>
      </w:r>
      <w:r w:rsidR="00407B7B" w:rsidRPr="001B76EA">
        <w:rPr>
          <w:rFonts w:ascii="Times New Roman" w:eastAsia="Times New Roman" w:hAnsi="Times New Roman" w:cs="Times New Roman"/>
          <w:b/>
          <w:color w:val="000000"/>
          <w:sz w:val="24"/>
          <w:szCs w:val="24"/>
          <w:u w:val="single"/>
        </w:rPr>
        <w:t>Guidelines/</w:t>
      </w:r>
      <w:r w:rsidRPr="001B76EA">
        <w:rPr>
          <w:rFonts w:ascii="Times New Roman" w:eastAsia="Times New Roman" w:hAnsi="Times New Roman" w:cs="Times New Roman"/>
          <w:b/>
          <w:color w:val="000000"/>
          <w:sz w:val="24"/>
          <w:szCs w:val="24"/>
          <w:u w:val="single"/>
        </w:rPr>
        <w:t>Criteria</w:t>
      </w:r>
      <w:r w:rsidR="0023351D">
        <w:rPr>
          <w:rFonts w:ascii="Times New Roman" w:eastAsia="Times New Roman" w:hAnsi="Times New Roman" w:cs="Times New Roman"/>
          <w:b/>
          <w:color w:val="000000"/>
          <w:sz w:val="24"/>
          <w:szCs w:val="24"/>
          <w:u w:val="single"/>
        </w:rPr>
        <w:t xml:space="preserve"> and ASAM Criteria</w:t>
      </w:r>
      <w:r w:rsidRPr="001B76EA">
        <w:rPr>
          <w:rFonts w:ascii="Times New Roman" w:eastAsia="Times New Roman" w:hAnsi="Times New Roman" w:cs="Times New Roman"/>
          <w:b/>
          <w:color w:val="000000"/>
          <w:sz w:val="24"/>
          <w:szCs w:val="24"/>
          <w:u w:val="single"/>
        </w:rPr>
        <w:t xml:space="preserve"> </w:t>
      </w:r>
    </w:p>
    <w:p w14:paraId="57F1A00D" w14:textId="77777777" w:rsidR="00DB10C0" w:rsidRPr="00801CF6" w:rsidRDefault="00DB10C0">
      <w:pPr>
        <w:pBdr>
          <w:top w:val="nil"/>
          <w:left w:val="nil"/>
          <w:bottom w:val="nil"/>
          <w:right w:val="nil"/>
          <w:between w:val="nil"/>
        </w:pBdr>
        <w:spacing w:after="0"/>
        <w:rPr>
          <w:rFonts w:ascii="Times New Roman" w:eastAsia="Times New Roman" w:hAnsi="Times New Roman" w:cs="Times New Roman"/>
          <w:color w:val="000000"/>
          <w:sz w:val="24"/>
          <w:szCs w:val="24"/>
        </w:rPr>
      </w:pPr>
    </w:p>
    <w:p w14:paraId="0AC3FAF9" w14:textId="06C661DC" w:rsidR="00445BAA" w:rsidRPr="00801CF6" w:rsidRDefault="000B53BD"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comparative analysis</w:t>
      </w:r>
      <w:r w:rsidR="00F40B96" w:rsidRPr="00801C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 the Medical Necessity Guidelines/Criteria </w:t>
      </w:r>
      <w:r w:rsidR="00AC5CFA">
        <w:rPr>
          <w:rFonts w:ascii="Times New Roman" w:eastAsia="Times New Roman" w:hAnsi="Times New Roman" w:cs="Times New Roman"/>
          <w:color w:val="000000"/>
          <w:sz w:val="24"/>
          <w:szCs w:val="24"/>
        </w:rPr>
        <w:t xml:space="preserve">and ASAM Criteria </w:t>
      </w:r>
      <w:r>
        <w:rPr>
          <w:rFonts w:ascii="Times New Roman" w:eastAsia="Times New Roman" w:hAnsi="Times New Roman" w:cs="Times New Roman"/>
          <w:color w:val="000000"/>
          <w:sz w:val="24"/>
          <w:szCs w:val="24"/>
        </w:rPr>
        <w:t xml:space="preserve">NQTL </w:t>
      </w:r>
      <w:r w:rsidR="00AC5CFA">
        <w:rPr>
          <w:rFonts w:ascii="Times New Roman" w:eastAsia="Times New Roman" w:hAnsi="Times New Roman" w:cs="Times New Roman"/>
          <w:color w:val="000000"/>
          <w:sz w:val="24"/>
          <w:szCs w:val="24"/>
        </w:rPr>
        <w:t>must</w:t>
      </w:r>
      <w:r w:rsidR="00F40B96" w:rsidRPr="00801CF6">
        <w:rPr>
          <w:rFonts w:ascii="Times New Roman" w:eastAsia="Times New Roman" w:hAnsi="Times New Roman" w:cs="Times New Roman"/>
          <w:color w:val="000000"/>
          <w:sz w:val="24"/>
          <w:szCs w:val="24"/>
        </w:rPr>
        <w:t xml:space="preserve"> focus on the selection, development, and modification of medical necessity criteria. </w:t>
      </w:r>
      <w:r w:rsidR="0064676F" w:rsidRPr="00801CF6">
        <w:rPr>
          <w:rFonts w:ascii="Times New Roman" w:eastAsia="Times New Roman" w:hAnsi="Times New Roman" w:cs="Times New Roman"/>
          <w:color w:val="000000"/>
          <w:sz w:val="24"/>
          <w:szCs w:val="24"/>
        </w:rPr>
        <w:t xml:space="preserve">The comparative analysis must </w:t>
      </w:r>
      <w:r w:rsidR="00951564" w:rsidRPr="00801CF6">
        <w:rPr>
          <w:rFonts w:ascii="Times New Roman" w:eastAsia="Times New Roman" w:hAnsi="Times New Roman" w:cs="Times New Roman"/>
          <w:color w:val="000000"/>
          <w:sz w:val="24"/>
          <w:szCs w:val="24"/>
        </w:rPr>
        <w:t>describe</w:t>
      </w:r>
      <w:r w:rsidR="00393CCF" w:rsidRPr="00801CF6">
        <w:rPr>
          <w:rFonts w:ascii="Times New Roman" w:eastAsia="Times New Roman" w:hAnsi="Times New Roman" w:cs="Times New Roman"/>
          <w:color w:val="000000"/>
          <w:sz w:val="24"/>
          <w:szCs w:val="24"/>
        </w:rPr>
        <w:t xml:space="preserve"> any and all </w:t>
      </w:r>
      <w:r w:rsidR="003744EC" w:rsidRPr="00801CF6">
        <w:rPr>
          <w:rFonts w:ascii="Times New Roman" w:eastAsia="Times New Roman" w:hAnsi="Times New Roman" w:cs="Times New Roman"/>
          <w:color w:val="000000"/>
          <w:sz w:val="24"/>
          <w:szCs w:val="24"/>
        </w:rPr>
        <w:t xml:space="preserve">external </w:t>
      </w:r>
      <w:r w:rsidR="00977AFE" w:rsidRPr="00801CF6">
        <w:rPr>
          <w:rFonts w:ascii="Times New Roman" w:eastAsia="Times New Roman" w:hAnsi="Times New Roman" w:cs="Times New Roman"/>
          <w:color w:val="000000"/>
          <w:sz w:val="24"/>
          <w:szCs w:val="24"/>
        </w:rPr>
        <w:t>guidelines</w:t>
      </w:r>
      <w:r w:rsidR="009217E8" w:rsidRPr="00801CF6">
        <w:rPr>
          <w:rFonts w:ascii="Times New Roman" w:eastAsia="Times New Roman" w:hAnsi="Times New Roman" w:cs="Times New Roman"/>
          <w:color w:val="000000"/>
          <w:sz w:val="24"/>
          <w:szCs w:val="24"/>
        </w:rPr>
        <w:t xml:space="preserve">/criteria relied on by the </w:t>
      </w:r>
      <w:r w:rsidR="003A7B94" w:rsidRPr="00801CF6">
        <w:rPr>
          <w:rFonts w:ascii="Times New Roman" w:eastAsia="Times New Roman" w:hAnsi="Times New Roman" w:cs="Times New Roman"/>
          <w:color w:val="000000"/>
          <w:sz w:val="24"/>
          <w:szCs w:val="24"/>
        </w:rPr>
        <w:t>c</w:t>
      </w:r>
      <w:r w:rsidR="009217E8" w:rsidRPr="00801CF6">
        <w:rPr>
          <w:rFonts w:ascii="Times New Roman" w:eastAsia="Times New Roman" w:hAnsi="Times New Roman" w:cs="Times New Roman"/>
          <w:color w:val="000000"/>
          <w:sz w:val="24"/>
          <w:szCs w:val="24"/>
        </w:rPr>
        <w:t>arrier</w:t>
      </w:r>
      <w:r w:rsidR="008C6895" w:rsidRPr="00801CF6">
        <w:rPr>
          <w:rFonts w:ascii="Times New Roman" w:eastAsia="Times New Roman" w:hAnsi="Times New Roman" w:cs="Times New Roman"/>
          <w:color w:val="000000"/>
          <w:sz w:val="24"/>
          <w:szCs w:val="24"/>
        </w:rPr>
        <w:t>,</w:t>
      </w:r>
      <w:r w:rsidR="00951564" w:rsidRPr="00801CF6">
        <w:rPr>
          <w:rFonts w:ascii="Times New Roman" w:eastAsia="Times New Roman" w:hAnsi="Times New Roman" w:cs="Times New Roman"/>
          <w:color w:val="000000"/>
          <w:sz w:val="24"/>
          <w:szCs w:val="24"/>
        </w:rPr>
        <w:t xml:space="preserve"> and </w:t>
      </w:r>
      <w:r w:rsidR="00F702D1" w:rsidRPr="00801CF6">
        <w:rPr>
          <w:rFonts w:ascii="Times New Roman" w:eastAsia="Times New Roman" w:hAnsi="Times New Roman" w:cs="Times New Roman"/>
          <w:color w:val="000000"/>
          <w:sz w:val="24"/>
          <w:szCs w:val="24"/>
        </w:rPr>
        <w:t xml:space="preserve">any and </w:t>
      </w:r>
      <w:r w:rsidR="00F67B41" w:rsidRPr="00801CF6">
        <w:rPr>
          <w:rFonts w:ascii="Times New Roman" w:eastAsia="Times New Roman" w:hAnsi="Times New Roman" w:cs="Times New Roman"/>
          <w:color w:val="000000"/>
          <w:sz w:val="24"/>
          <w:szCs w:val="24"/>
        </w:rPr>
        <w:t xml:space="preserve">all </w:t>
      </w:r>
      <w:r w:rsidR="00951564" w:rsidRPr="00801CF6">
        <w:rPr>
          <w:rFonts w:ascii="Times New Roman" w:eastAsia="Times New Roman" w:hAnsi="Times New Roman" w:cs="Times New Roman"/>
          <w:color w:val="000000"/>
          <w:sz w:val="24"/>
          <w:szCs w:val="24"/>
        </w:rPr>
        <w:t xml:space="preserve">internal </w:t>
      </w:r>
      <w:r w:rsidR="00F702D1" w:rsidRPr="00801CF6">
        <w:rPr>
          <w:rFonts w:ascii="Times New Roman" w:eastAsia="Times New Roman" w:hAnsi="Times New Roman" w:cs="Times New Roman"/>
          <w:color w:val="000000"/>
          <w:sz w:val="24"/>
          <w:szCs w:val="24"/>
        </w:rPr>
        <w:t xml:space="preserve">guidelines/criteria developed by the </w:t>
      </w:r>
      <w:r w:rsidR="003A7B94" w:rsidRPr="00801CF6">
        <w:rPr>
          <w:rFonts w:ascii="Times New Roman" w:eastAsia="Times New Roman" w:hAnsi="Times New Roman" w:cs="Times New Roman"/>
          <w:color w:val="000000"/>
          <w:sz w:val="24"/>
          <w:szCs w:val="24"/>
        </w:rPr>
        <w:t>c</w:t>
      </w:r>
      <w:r w:rsidR="00F702D1" w:rsidRPr="00801CF6">
        <w:rPr>
          <w:rFonts w:ascii="Times New Roman" w:eastAsia="Times New Roman" w:hAnsi="Times New Roman" w:cs="Times New Roman"/>
          <w:color w:val="000000"/>
          <w:sz w:val="24"/>
          <w:szCs w:val="24"/>
        </w:rPr>
        <w:t>arrier</w:t>
      </w:r>
      <w:r w:rsidR="003744EC" w:rsidRPr="00801CF6">
        <w:rPr>
          <w:rFonts w:ascii="Times New Roman" w:eastAsia="Times New Roman" w:hAnsi="Times New Roman" w:cs="Times New Roman"/>
          <w:color w:val="000000"/>
          <w:sz w:val="24"/>
          <w:szCs w:val="24"/>
        </w:rPr>
        <w:t>.</w:t>
      </w:r>
      <w:r w:rsidR="00C35930" w:rsidRPr="00801CF6">
        <w:rPr>
          <w:rFonts w:ascii="Times New Roman" w:eastAsia="Times New Roman" w:hAnsi="Times New Roman" w:cs="Times New Roman"/>
          <w:color w:val="000000"/>
          <w:sz w:val="24"/>
          <w:szCs w:val="24"/>
        </w:rPr>
        <w:t xml:space="preserve"> </w:t>
      </w:r>
    </w:p>
    <w:p w14:paraId="24101F25" w14:textId="77777777" w:rsidR="008617D7" w:rsidRPr="00801CF6" w:rsidRDefault="008617D7"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p>
    <w:p w14:paraId="60A069C7" w14:textId="5A10595C" w:rsidR="008017D6" w:rsidRDefault="000B53BD"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8017D6">
        <w:rPr>
          <w:rFonts w:ascii="Times New Roman" w:eastAsia="Times New Roman" w:hAnsi="Times New Roman" w:cs="Times New Roman"/>
          <w:color w:val="000000"/>
          <w:sz w:val="24"/>
          <w:szCs w:val="24"/>
        </w:rPr>
        <w:t>MIA</w:t>
      </w:r>
      <w:r w:rsidR="00514BB1">
        <w:rPr>
          <w:rFonts w:ascii="Times New Roman" w:eastAsia="Times New Roman" w:hAnsi="Times New Roman" w:cs="Times New Roman"/>
          <w:color w:val="000000"/>
          <w:sz w:val="24"/>
          <w:szCs w:val="24"/>
        </w:rPr>
        <w:t xml:space="preserve"> will consider</w:t>
      </w:r>
      <w:r w:rsidR="008017D6">
        <w:rPr>
          <w:rFonts w:ascii="Times New Roman" w:eastAsia="Times New Roman" w:hAnsi="Times New Roman" w:cs="Times New Roman"/>
          <w:color w:val="000000"/>
          <w:sz w:val="24"/>
          <w:szCs w:val="24"/>
        </w:rPr>
        <w:t xml:space="preserve"> as</w:t>
      </w:r>
      <w:r w:rsidR="00514BB1">
        <w:rPr>
          <w:rFonts w:ascii="Times New Roman" w:eastAsia="Times New Roman" w:hAnsi="Times New Roman" w:cs="Times New Roman"/>
          <w:color w:val="000000"/>
          <w:sz w:val="24"/>
          <w:szCs w:val="24"/>
        </w:rPr>
        <w:t xml:space="preserve"> insufficient </w:t>
      </w:r>
      <w:r w:rsidR="008017D6">
        <w:rPr>
          <w:rFonts w:ascii="Times New Roman" w:eastAsia="Times New Roman" w:hAnsi="Times New Roman" w:cs="Times New Roman"/>
          <w:color w:val="000000"/>
          <w:sz w:val="24"/>
          <w:szCs w:val="24"/>
        </w:rPr>
        <w:t xml:space="preserve">a </w:t>
      </w:r>
      <w:r w:rsidR="00514BB1">
        <w:rPr>
          <w:rFonts w:ascii="Times New Roman" w:eastAsia="Times New Roman" w:hAnsi="Times New Roman" w:cs="Times New Roman"/>
          <w:color w:val="000000"/>
          <w:sz w:val="24"/>
          <w:szCs w:val="24"/>
        </w:rPr>
        <w:t xml:space="preserve">response </w:t>
      </w:r>
      <w:r w:rsidR="008017D6">
        <w:rPr>
          <w:rFonts w:ascii="Times New Roman" w:eastAsia="Times New Roman" w:hAnsi="Times New Roman" w:cs="Times New Roman"/>
          <w:color w:val="000000"/>
          <w:sz w:val="24"/>
          <w:szCs w:val="24"/>
        </w:rPr>
        <w:t>that only states that</w:t>
      </w:r>
      <w:r w:rsidR="00514BB1">
        <w:rPr>
          <w:rFonts w:ascii="Times New Roman" w:eastAsia="Times New Roman" w:hAnsi="Times New Roman" w:cs="Times New Roman"/>
          <w:color w:val="000000"/>
          <w:sz w:val="24"/>
          <w:szCs w:val="24"/>
        </w:rPr>
        <w:t xml:space="preserve"> medical necessity criteria are selected in compliance with § 15-10B-05. </w:t>
      </w:r>
    </w:p>
    <w:p w14:paraId="1BFFAC07" w14:textId="77777777" w:rsidR="008017D6" w:rsidRDefault="008017D6"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p>
    <w:p w14:paraId="5705B0F6" w14:textId="461C3DB9" w:rsidR="00514BB1" w:rsidRDefault="00514BB1"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514BB1">
        <w:rPr>
          <w:rFonts w:ascii="Times New Roman" w:eastAsia="Times New Roman" w:hAnsi="Times New Roman" w:cs="Times New Roman"/>
          <w:color w:val="000000"/>
          <w:sz w:val="24"/>
          <w:szCs w:val="24"/>
        </w:rPr>
        <w:t xml:space="preserve">If the carrier selects criteria based on § 15–10B–05(a)(11), </w:t>
      </w:r>
      <w:r>
        <w:rPr>
          <w:rFonts w:ascii="Times New Roman" w:eastAsia="Times New Roman" w:hAnsi="Times New Roman" w:cs="Times New Roman"/>
          <w:color w:val="000000"/>
          <w:sz w:val="24"/>
          <w:szCs w:val="24"/>
        </w:rPr>
        <w:t xml:space="preserve">the comparative analysis </w:t>
      </w:r>
      <w:r w:rsidR="008C7E24">
        <w:rPr>
          <w:rFonts w:ascii="Times New Roman" w:eastAsia="Times New Roman" w:hAnsi="Times New Roman" w:cs="Times New Roman"/>
          <w:color w:val="000000"/>
          <w:sz w:val="24"/>
          <w:szCs w:val="24"/>
        </w:rPr>
        <w:t xml:space="preserve"> </w:t>
      </w:r>
      <w:r w:rsidR="002A3588">
        <w:rPr>
          <w:rFonts w:ascii="Times New Roman" w:eastAsia="Times New Roman" w:hAnsi="Times New Roman" w:cs="Times New Roman"/>
          <w:color w:val="000000"/>
          <w:sz w:val="24"/>
          <w:szCs w:val="24"/>
        </w:rPr>
        <w:t>must</w:t>
      </w:r>
      <w:r>
        <w:rPr>
          <w:rFonts w:ascii="Times New Roman" w:eastAsia="Times New Roman" w:hAnsi="Times New Roman" w:cs="Times New Roman"/>
          <w:color w:val="000000"/>
          <w:sz w:val="24"/>
          <w:szCs w:val="24"/>
        </w:rPr>
        <w:t xml:space="preserve"> include</w:t>
      </w:r>
      <w:r w:rsidRPr="00514BB1">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following:</w:t>
      </w:r>
    </w:p>
    <w:p w14:paraId="335A2D63" w14:textId="77777777" w:rsidR="008017D6" w:rsidRDefault="008017D6" w:rsidP="00E23BB7">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p>
    <w:p w14:paraId="00802903" w14:textId="7E961C5D" w:rsidR="00514BB1" w:rsidRDefault="00514BB1" w:rsidP="006277DC">
      <w:pPr>
        <w:numPr>
          <w:ilvl w:val="0"/>
          <w:numId w:val="2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process for determining whether a set of medical necessity criteria m</w:t>
      </w:r>
      <w:r w:rsidR="008017D6">
        <w:rPr>
          <w:rFonts w:ascii="Times New Roman" w:eastAsia="Times New Roman" w:hAnsi="Times New Roman" w:cs="Times New Roman"/>
          <w:color w:val="000000"/>
          <w:sz w:val="24"/>
          <w:szCs w:val="24"/>
        </w:rPr>
        <w:t xml:space="preserve">eets the statutory requirements; </w:t>
      </w:r>
    </w:p>
    <w:p w14:paraId="2CBCE187" w14:textId="2F4FA2C3" w:rsidR="00514BB1" w:rsidRDefault="00514BB1" w:rsidP="006277DC">
      <w:pPr>
        <w:numPr>
          <w:ilvl w:val="0"/>
          <w:numId w:val="2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Pr="00514BB1">
        <w:rPr>
          <w:rFonts w:ascii="Times New Roman" w:eastAsia="Times New Roman" w:hAnsi="Times New Roman" w:cs="Times New Roman"/>
          <w:color w:val="000000"/>
          <w:sz w:val="24"/>
          <w:szCs w:val="24"/>
        </w:rPr>
        <w:t xml:space="preserve">process for </w:t>
      </w:r>
      <w:r>
        <w:rPr>
          <w:rFonts w:ascii="Times New Roman" w:eastAsia="Times New Roman" w:hAnsi="Times New Roman" w:cs="Times New Roman"/>
          <w:color w:val="000000"/>
          <w:sz w:val="24"/>
          <w:szCs w:val="24"/>
        </w:rPr>
        <w:t xml:space="preserve">selecting specific criteria sets where more than one set of </w:t>
      </w:r>
      <w:r w:rsidR="00286D34">
        <w:rPr>
          <w:rFonts w:ascii="Times New Roman" w:eastAsia="Times New Roman" w:hAnsi="Times New Roman" w:cs="Times New Roman"/>
          <w:color w:val="000000"/>
          <w:sz w:val="24"/>
          <w:szCs w:val="24"/>
        </w:rPr>
        <w:t>guidelines/</w:t>
      </w:r>
      <w:r>
        <w:rPr>
          <w:rFonts w:ascii="Times New Roman" w:eastAsia="Times New Roman" w:hAnsi="Times New Roman" w:cs="Times New Roman"/>
          <w:color w:val="000000"/>
          <w:sz w:val="24"/>
          <w:szCs w:val="24"/>
        </w:rPr>
        <w:t>criteria</w:t>
      </w:r>
      <w:r w:rsidR="008017D6">
        <w:rPr>
          <w:rFonts w:ascii="Times New Roman" w:eastAsia="Times New Roman" w:hAnsi="Times New Roman" w:cs="Times New Roman"/>
          <w:color w:val="000000"/>
          <w:sz w:val="24"/>
          <w:szCs w:val="24"/>
        </w:rPr>
        <w:t xml:space="preserve"> exists</w:t>
      </w:r>
      <w:r>
        <w:rPr>
          <w:rFonts w:ascii="Times New Roman" w:eastAsia="Times New Roman" w:hAnsi="Times New Roman" w:cs="Times New Roman"/>
          <w:color w:val="000000"/>
          <w:sz w:val="24"/>
          <w:szCs w:val="24"/>
        </w:rPr>
        <w:t xml:space="preserve"> that me</w:t>
      </w:r>
      <w:r w:rsidR="008017D6">
        <w:rPr>
          <w:rFonts w:ascii="Times New Roman" w:eastAsia="Times New Roman" w:hAnsi="Times New Roman" w:cs="Times New Roman"/>
          <w:color w:val="000000"/>
          <w:sz w:val="24"/>
          <w:szCs w:val="24"/>
        </w:rPr>
        <w:t>ets the statutory requirements; and</w:t>
      </w:r>
    </w:p>
    <w:p w14:paraId="2C0A831E" w14:textId="1F41FD26" w:rsidR="00514BB1" w:rsidRPr="00514BB1" w:rsidRDefault="00514BB1" w:rsidP="006277DC">
      <w:pPr>
        <w:numPr>
          <w:ilvl w:val="0"/>
          <w:numId w:val="27"/>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process for </w:t>
      </w:r>
      <w:r w:rsidRPr="00514BB1">
        <w:rPr>
          <w:rFonts w:ascii="Times New Roman" w:eastAsia="Times New Roman" w:hAnsi="Times New Roman" w:cs="Times New Roman"/>
          <w:color w:val="000000"/>
          <w:sz w:val="24"/>
          <w:szCs w:val="24"/>
        </w:rPr>
        <w:t xml:space="preserve">ensuring that the </w:t>
      </w:r>
      <w:r w:rsidR="00286D34">
        <w:rPr>
          <w:rFonts w:ascii="Times New Roman" w:eastAsia="Times New Roman" w:hAnsi="Times New Roman" w:cs="Times New Roman"/>
          <w:color w:val="000000"/>
          <w:sz w:val="24"/>
          <w:szCs w:val="24"/>
        </w:rPr>
        <w:t>guidelines/</w:t>
      </w:r>
      <w:r w:rsidRPr="00514BB1">
        <w:rPr>
          <w:rFonts w:ascii="Times New Roman" w:eastAsia="Times New Roman" w:hAnsi="Times New Roman" w:cs="Times New Roman"/>
          <w:color w:val="000000"/>
          <w:sz w:val="24"/>
          <w:szCs w:val="24"/>
        </w:rPr>
        <w:t>criteria are objective and clinically valid and meet all requirements of § 15–10B–05 in operation.</w:t>
      </w:r>
    </w:p>
    <w:p w14:paraId="635AB505" w14:textId="784F77ED" w:rsidR="00514BB1" w:rsidRDefault="00514BB1" w:rsidP="00B02095">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2F736740" w14:textId="431D8A91" w:rsidR="008617D7" w:rsidRDefault="008617D7"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For each applicable benefit classification</w:t>
      </w:r>
      <w:r w:rsidR="00AC5CFA">
        <w:rPr>
          <w:rFonts w:ascii="Times New Roman" w:eastAsia="Times New Roman" w:hAnsi="Times New Roman" w:cs="Times New Roman"/>
          <w:color w:val="000000"/>
          <w:sz w:val="24"/>
          <w:szCs w:val="24"/>
        </w:rPr>
        <w:t xml:space="preserve"> or sub-classification</w:t>
      </w:r>
      <w:r w:rsidRPr="00801CF6">
        <w:rPr>
          <w:rFonts w:ascii="Times New Roman" w:eastAsia="Times New Roman" w:hAnsi="Times New Roman" w:cs="Times New Roman"/>
          <w:color w:val="000000"/>
          <w:sz w:val="24"/>
          <w:szCs w:val="24"/>
        </w:rPr>
        <w:t xml:space="preserve">, </w:t>
      </w:r>
      <w:r w:rsidR="00D81F97" w:rsidRPr="00801CF6">
        <w:rPr>
          <w:rFonts w:ascii="Times New Roman" w:eastAsia="Times New Roman" w:hAnsi="Times New Roman" w:cs="Times New Roman"/>
          <w:color w:val="000000"/>
          <w:sz w:val="24"/>
          <w:szCs w:val="24"/>
        </w:rPr>
        <w:t xml:space="preserve">the following </w:t>
      </w:r>
      <w:r w:rsidR="00BC071C" w:rsidRPr="00801CF6">
        <w:rPr>
          <w:rFonts w:ascii="Times New Roman" w:eastAsia="Times New Roman" w:hAnsi="Times New Roman" w:cs="Times New Roman"/>
          <w:color w:val="000000"/>
          <w:sz w:val="24"/>
          <w:szCs w:val="24"/>
        </w:rPr>
        <w:t xml:space="preserve">information and </w:t>
      </w:r>
      <w:r w:rsidR="00D81F97" w:rsidRPr="00801CF6">
        <w:rPr>
          <w:rFonts w:ascii="Times New Roman" w:eastAsia="Times New Roman" w:hAnsi="Times New Roman" w:cs="Times New Roman"/>
          <w:color w:val="000000"/>
          <w:sz w:val="24"/>
          <w:szCs w:val="24"/>
        </w:rPr>
        <w:t>detail</w:t>
      </w:r>
      <w:r w:rsidR="003744EC" w:rsidRPr="00801CF6">
        <w:rPr>
          <w:rFonts w:ascii="Times New Roman" w:eastAsia="Times New Roman" w:hAnsi="Times New Roman" w:cs="Times New Roman"/>
          <w:color w:val="000000"/>
          <w:sz w:val="24"/>
          <w:szCs w:val="24"/>
        </w:rPr>
        <w:t>s</w:t>
      </w:r>
      <w:r w:rsidR="00D81F97" w:rsidRPr="00801CF6">
        <w:rPr>
          <w:rFonts w:ascii="Times New Roman" w:eastAsia="Times New Roman" w:hAnsi="Times New Roman" w:cs="Times New Roman"/>
          <w:color w:val="000000"/>
          <w:sz w:val="24"/>
          <w:szCs w:val="24"/>
        </w:rPr>
        <w:t xml:space="preserve"> must be included in the narrative response:</w:t>
      </w:r>
    </w:p>
    <w:p w14:paraId="4F137718" w14:textId="77777777" w:rsidR="008017D6" w:rsidRPr="00801CF6" w:rsidRDefault="008017D6" w:rsidP="00E02C00">
      <w:pPr>
        <w:pBdr>
          <w:top w:val="nil"/>
          <w:left w:val="nil"/>
          <w:bottom w:val="nil"/>
          <w:right w:val="nil"/>
          <w:between w:val="nil"/>
        </w:pBdr>
        <w:spacing w:after="0"/>
        <w:ind w:left="360" w:firstLine="0"/>
        <w:rPr>
          <w:rFonts w:ascii="Times New Roman" w:eastAsia="Times New Roman" w:hAnsi="Times New Roman" w:cs="Times New Roman"/>
          <w:color w:val="000000"/>
          <w:sz w:val="24"/>
          <w:szCs w:val="24"/>
        </w:rPr>
      </w:pPr>
    </w:p>
    <w:p w14:paraId="1AA07403" w14:textId="5E0863E0" w:rsidR="005116A2" w:rsidRDefault="00A813CF" w:rsidP="006277DC">
      <w:pPr>
        <w:pStyle w:val="ListParagraph"/>
        <w:numPr>
          <w:ilvl w:val="0"/>
          <w:numId w:val="27"/>
        </w:numPr>
        <w:spacing w:after="0" w:line="240" w:lineRule="auto"/>
        <w:rPr>
          <w:rFonts w:ascii="Times New Roman" w:hAnsi="Times New Roman" w:cs="Times New Roman"/>
          <w:sz w:val="24"/>
          <w:szCs w:val="24"/>
        </w:rPr>
      </w:pPr>
      <w:r w:rsidRPr="00801CF6">
        <w:rPr>
          <w:rFonts w:ascii="Times New Roman" w:hAnsi="Times New Roman" w:cs="Times New Roman"/>
          <w:sz w:val="24"/>
          <w:szCs w:val="24"/>
        </w:rPr>
        <w:t xml:space="preserve">If the </w:t>
      </w:r>
      <w:r w:rsidR="00286D34">
        <w:rPr>
          <w:rFonts w:ascii="Times New Roman" w:hAnsi="Times New Roman" w:cs="Times New Roman"/>
          <w:sz w:val="24"/>
          <w:szCs w:val="24"/>
        </w:rPr>
        <w:t>guidelines/</w:t>
      </w:r>
      <w:r w:rsidRPr="00801CF6">
        <w:rPr>
          <w:rFonts w:ascii="Times New Roman" w:hAnsi="Times New Roman" w:cs="Times New Roman"/>
          <w:sz w:val="24"/>
          <w:szCs w:val="24"/>
        </w:rPr>
        <w:t xml:space="preserve">criteria or </w:t>
      </w:r>
      <w:r w:rsidR="006870AB">
        <w:rPr>
          <w:rFonts w:ascii="Times New Roman" w:hAnsi="Times New Roman" w:cs="Times New Roman"/>
          <w:sz w:val="24"/>
          <w:szCs w:val="24"/>
        </w:rPr>
        <w:t>best practice</w:t>
      </w:r>
      <w:r w:rsidR="00286D34">
        <w:rPr>
          <w:rFonts w:ascii="Times New Roman" w:hAnsi="Times New Roman" w:cs="Times New Roman"/>
          <w:sz w:val="24"/>
          <w:szCs w:val="24"/>
        </w:rPr>
        <w:t>s</w:t>
      </w:r>
      <w:r w:rsidRPr="00801CF6">
        <w:rPr>
          <w:rFonts w:ascii="Times New Roman" w:hAnsi="Times New Roman" w:cs="Times New Roman"/>
          <w:sz w:val="24"/>
          <w:szCs w:val="24"/>
        </w:rPr>
        <w:t xml:space="preserve"> utilized are </w:t>
      </w:r>
      <w:r w:rsidRPr="008017D6">
        <w:rPr>
          <w:rFonts w:ascii="Times New Roman" w:hAnsi="Times New Roman" w:cs="Times New Roman"/>
          <w:iCs/>
          <w:sz w:val="24"/>
          <w:szCs w:val="24"/>
        </w:rPr>
        <w:t>internally developed</w:t>
      </w:r>
      <w:r w:rsidR="005116A2" w:rsidRPr="008017D6">
        <w:rPr>
          <w:rFonts w:ascii="Times New Roman" w:hAnsi="Times New Roman" w:cs="Times New Roman"/>
          <w:iCs/>
          <w:sz w:val="24"/>
          <w:szCs w:val="24"/>
        </w:rPr>
        <w:t xml:space="preserve"> by the car</w:t>
      </w:r>
      <w:r w:rsidR="00BC071C" w:rsidRPr="008017D6">
        <w:rPr>
          <w:rFonts w:ascii="Times New Roman" w:hAnsi="Times New Roman" w:cs="Times New Roman"/>
          <w:iCs/>
          <w:sz w:val="24"/>
          <w:szCs w:val="24"/>
        </w:rPr>
        <w:t>r</w:t>
      </w:r>
      <w:r w:rsidR="005116A2" w:rsidRPr="008017D6">
        <w:rPr>
          <w:rFonts w:ascii="Times New Roman" w:hAnsi="Times New Roman" w:cs="Times New Roman"/>
          <w:iCs/>
          <w:sz w:val="24"/>
          <w:szCs w:val="24"/>
        </w:rPr>
        <w:t>ier</w:t>
      </w:r>
      <w:r w:rsidRPr="00801CF6">
        <w:rPr>
          <w:rFonts w:ascii="Times New Roman" w:hAnsi="Times New Roman" w:cs="Times New Roman"/>
          <w:sz w:val="24"/>
          <w:szCs w:val="24"/>
        </w:rPr>
        <w:t>, describe the process</w:t>
      </w:r>
      <w:r w:rsidR="00AC5CFA">
        <w:rPr>
          <w:rFonts w:ascii="Times New Roman" w:hAnsi="Times New Roman" w:cs="Times New Roman"/>
          <w:sz w:val="24"/>
          <w:szCs w:val="24"/>
        </w:rPr>
        <w:t>es</w:t>
      </w:r>
      <w:r w:rsidRPr="00801CF6">
        <w:rPr>
          <w:rFonts w:ascii="Times New Roman" w:hAnsi="Times New Roman" w:cs="Times New Roman"/>
          <w:sz w:val="24"/>
          <w:szCs w:val="24"/>
        </w:rPr>
        <w:t>, methodology</w:t>
      </w:r>
      <w:r w:rsidR="00483E0B" w:rsidRPr="00801CF6">
        <w:rPr>
          <w:rFonts w:ascii="Times New Roman" w:hAnsi="Times New Roman" w:cs="Times New Roman"/>
          <w:sz w:val="24"/>
          <w:szCs w:val="24"/>
        </w:rPr>
        <w:t>,</w:t>
      </w:r>
      <w:r w:rsidRPr="00801CF6">
        <w:rPr>
          <w:rFonts w:ascii="Times New Roman" w:hAnsi="Times New Roman" w:cs="Times New Roman"/>
          <w:sz w:val="24"/>
          <w:szCs w:val="24"/>
        </w:rPr>
        <w:t xml:space="preserve"> and sources for such guidelines</w:t>
      </w:r>
      <w:r w:rsidR="00286D34">
        <w:rPr>
          <w:rFonts w:ascii="Times New Roman" w:hAnsi="Times New Roman" w:cs="Times New Roman"/>
          <w:sz w:val="24"/>
          <w:szCs w:val="24"/>
        </w:rPr>
        <w:t>/criteria</w:t>
      </w:r>
      <w:r w:rsidR="008017D6">
        <w:rPr>
          <w:rFonts w:ascii="Times New Roman" w:hAnsi="Times New Roman" w:cs="Times New Roman"/>
          <w:sz w:val="24"/>
          <w:szCs w:val="24"/>
        </w:rPr>
        <w:t>;</w:t>
      </w:r>
    </w:p>
    <w:p w14:paraId="375272FA" w14:textId="2557C43E" w:rsidR="006870AB" w:rsidRPr="006870AB" w:rsidRDefault="006870AB" w:rsidP="006870AB">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801CF6">
        <w:rPr>
          <w:rFonts w:ascii="Times New Roman" w:eastAsia="Times New Roman" w:hAnsi="Times New Roman" w:cs="Times New Roman"/>
          <w:color w:val="000000"/>
          <w:sz w:val="24"/>
          <w:szCs w:val="24"/>
        </w:rPr>
        <w:t xml:space="preserve">efine and describe any differences between the carrier’s internally developed </w:t>
      </w:r>
      <w:r w:rsidR="00286D34">
        <w:rPr>
          <w:rFonts w:ascii="Times New Roman" w:eastAsia="Times New Roman" w:hAnsi="Times New Roman" w:cs="Times New Roman"/>
          <w:color w:val="000000"/>
          <w:sz w:val="24"/>
          <w:szCs w:val="24"/>
        </w:rPr>
        <w:t>guidelines/</w:t>
      </w:r>
      <w:r w:rsidRPr="00801CF6">
        <w:rPr>
          <w:rFonts w:ascii="Times New Roman" w:eastAsia="Times New Roman" w:hAnsi="Times New Roman" w:cs="Times New Roman"/>
          <w:color w:val="000000"/>
          <w:sz w:val="24"/>
          <w:szCs w:val="24"/>
        </w:rPr>
        <w:t xml:space="preserve">criteria and the external sources relied on for such internally developed </w:t>
      </w:r>
      <w:r w:rsidR="00286D34">
        <w:rPr>
          <w:rFonts w:ascii="Times New Roman" w:eastAsia="Times New Roman" w:hAnsi="Times New Roman" w:cs="Times New Roman"/>
          <w:color w:val="000000"/>
          <w:sz w:val="24"/>
          <w:szCs w:val="24"/>
        </w:rPr>
        <w:t>guidelines/</w:t>
      </w:r>
      <w:r w:rsidRPr="00801CF6">
        <w:rPr>
          <w:rFonts w:ascii="Times New Roman" w:eastAsia="Times New Roman" w:hAnsi="Times New Roman" w:cs="Times New Roman"/>
          <w:color w:val="000000"/>
          <w:sz w:val="24"/>
          <w:szCs w:val="24"/>
        </w:rPr>
        <w:t>criteria, and the rational</w:t>
      </w:r>
      <w:r w:rsidR="00286D34">
        <w:rPr>
          <w:rFonts w:ascii="Times New Roman" w:eastAsia="Times New Roman" w:hAnsi="Times New Roman" w:cs="Times New Roman"/>
          <w:color w:val="000000"/>
          <w:sz w:val="24"/>
          <w:szCs w:val="24"/>
        </w:rPr>
        <w:t>e</w:t>
      </w:r>
      <w:r w:rsidRPr="00801CF6">
        <w:rPr>
          <w:rFonts w:ascii="Times New Roman" w:eastAsia="Times New Roman" w:hAnsi="Times New Roman" w:cs="Times New Roman"/>
          <w:color w:val="000000"/>
          <w:sz w:val="24"/>
          <w:szCs w:val="24"/>
        </w:rPr>
        <w:t xml:space="preserve"> for such differences</w:t>
      </w:r>
      <w:r w:rsidR="00A30720">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 </w:t>
      </w:r>
    </w:p>
    <w:p w14:paraId="2A9B1B5C" w14:textId="3FB8D110" w:rsidR="008017D6" w:rsidRPr="008017D6" w:rsidRDefault="008017D6" w:rsidP="008017D6">
      <w:pPr>
        <w:pStyle w:val="ListParagraph"/>
        <w:numPr>
          <w:ilvl w:val="0"/>
          <w:numId w:val="27"/>
        </w:numPr>
        <w:rPr>
          <w:rFonts w:ascii="Times New Roman" w:hAnsi="Times New Roman" w:cs="Times New Roman"/>
          <w:sz w:val="24"/>
          <w:szCs w:val="24"/>
        </w:rPr>
      </w:pPr>
      <w:r w:rsidRPr="008017D6">
        <w:rPr>
          <w:rFonts w:ascii="Times New Roman" w:hAnsi="Times New Roman" w:cs="Times New Roman"/>
          <w:sz w:val="24"/>
          <w:szCs w:val="24"/>
        </w:rPr>
        <w:t xml:space="preserve">If the carrier </w:t>
      </w:r>
      <w:r w:rsidRPr="008017D6">
        <w:rPr>
          <w:rFonts w:ascii="Times New Roman" w:hAnsi="Times New Roman" w:cs="Times New Roman"/>
          <w:iCs/>
          <w:sz w:val="24"/>
          <w:szCs w:val="24"/>
        </w:rPr>
        <w:t xml:space="preserve">modifies any </w:t>
      </w:r>
      <w:r w:rsidR="006870AB">
        <w:rPr>
          <w:rFonts w:ascii="Times New Roman" w:hAnsi="Times New Roman" w:cs="Times New Roman"/>
          <w:iCs/>
          <w:sz w:val="24"/>
          <w:szCs w:val="24"/>
        </w:rPr>
        <w:t xml:space="preserve">independent, </w:t>
      </w:r>
      <w:r w:rsidRPr="008017D6">
        <w:rPr>
          <w:rFonts w:ascii="Times New Roman" w:hAnsi="Times New Roman" w:cs="Times New Roman"/>
          <w:iCs/>
          <w:sz w:val="24"/>
          <w:szCs w:val="24"/>
        </w:rPr>
        <w:t>externally developed</w:t>
      </w:r>
      <w:r w:rsidRPr="008017D6">
        <w:rPr>
          <w:rFonts w:ascii="Times New Roman" w:hAnsi="Times New Roman" w:cs="Times New Roman"/>
          <w:sz w:val="24"/>
          <w:szCs w:val="24"/>
        </w:rPr>
        <w:t xml:space="preserve"> level</w:t>
      </w:r>
      <w:r w:rsidR="00286D34">
        <w:rPr>
          <w:rFonts w:ascii="Times New Roman" w:hAnsi="Times New Roman" w:cs="Times New Roman"/>
          <w:sz w:val="24"/>
          <w:szCs w:val="24"/>
        </w:rPr>
        <w:t>-</w:t>
      </w:r>
      <w:r w:rsidRPr="008017D6">
        <w:rPr>
          <w:rFonts w:ascii="Times New Roman" w:hAnsi="Times New Roman" w:cs="Times New Roman"/>
          <w:sz w:val="24"/>
          <w:szCs w:val="24"/>
        </w:rPr>
        <w:t>of</w:t>
      </w:r>
      <w:r w:rsidR="00286D34">
        <w:rPr>
          <w:rFonts w:ascii="Times New Roman" w:hAnsi="Times New Roman" w:cs="Times New Roman"/>
          <w:sz w:val="24"/>
          <w:szCs w:val="24"/>
        </w:rPr>
        <w:t>-</w:t>
      </w:r>
      <w:r w:rsidRPr="008017D6">
        <w:rPr>
          <w:rFonts w:ascii="Times New Roman" w:hAnsi="Times New Roman" w:cs="Times New Roman"/>
          <w:sz w:val="24"/>
          <w:szCs w:val="24"/>
        </w:rPr>
        <w:t>care guidelines</w:t>
      </w:r>
      <w:r w:rsidR="00286D34">
        <w:rPr>
          <w:rFonts w:ascii="Times New Roman" w:hAnsi="Times New Roman" w:cs="Times New Roman"/>
          <w:sz w:val="24"/>
          <w:szCs w:val="24"/>
        </w:rPr>
        <w:t>/criteria</w:t>
      </w:r>
      <w:r w:rsidRPr="008017D6">
        <w:rPr>
          <w:rFonts w:ascii="Times New Roman" w:hAnsi="Times New Roman" w:cs="Times New Roman"/>
          <w:sz w:val="24"/>
          <w:szCs w:val="24"/>
        </w:rPr>
        <w:t xml:space="preserve"> and/or professional best practice</w:t>
      </w:r>
      <w:r w:rsidR="00286D34">
        <w:rPr>
          <w:rFonts w:ascii="Times New Roman" w:hAnsi="Times New Roman" w:cs="Times New Roman"/>
          <w:sz w:val="24"/>
          <w:szCs w:val="24"/>
        </w:rPr>
        <w:t>s</w:t>
      </w:r>
      <w:r w:rsidRPr="008017D6">
        <w:rPr>
          <w:rFonts w:ascii="Times New Roman" w:hAnsi="Times New Roman" w:cs="Times New Roman"/>
          <w:sz w:val="24"/>
          <w:szCs w:val="24"/>
        </w:rPr>
        <w:t>, describe in detail the modification(s) and rationale(s) for such modification(s);</w:t>
      </w:r>
    </w:p>
    <w:p w14:paraId="30673E09" w14:textId="3061E272" w:rsidR="001B76EA" w:rsidRPr="001B76EA" w:rsidRDefault="001B76EA" w:rsidP="006277DC">
      <w:pPr>
        <w:pStyle w:val="ListParagraph"/>
        <w:numPr>
          <w:ilvl w:val="0"/>
          <w:numId w:val="27"/>
        </w:num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In addition, the carrier must explain: </w:t>
      </w:r>
    </w:p>
    <w:p w14:paraId="03B8BD5C" w14:textId="4A72B9EC" w:rsidR="001B76EA" w:rsidRPr="009F2268" w:rsidRDefault="001B76EA" w:rsidP="006277DC">
      <w:pPr>
        <w:pStyle w:val="ListParagraph"/>
        <w:numPr>
          <w:ilvl w:val="1"/>
          <w:numId w:val="27"/>
        </w:numPr>
        <w:spacing w:after="0" w:line="240" w:lineRule="auto"/>
        <w:rPr>
          <w:rFonts w:ascii="Times New Roman" w:hAnsi="Times New Roman" w:cs="Times New Roman"/>
          <w:sz w:val="24"/>
          <w:szCs w:val="24"/>
        </w:rPr>
      </w:pPr>
      <w:r w:rsidRPr="009F2268">
        <w:rPr>
          <w:rFonts w:ascii="Times New Roman" w:eastAsia="Times New Roman" w:hAnsi="Times New Roman" w:cs="Times New Roman"/>
          <w:color w:val="000000"/>
          <w:sz w:val="24"/>
          <w:szCs w:val="24"/>
        </w:rPr>
        <w:lastRenderedPageBreak/>
        <w:t xml:space="preserve">How the carrier selects the </w:t>
      </w:r>
      <w:r>
        <w:rPr>
          <w:rFonts w:ascii="Times New Roman" w:eastAsia="Times New Roman" w:hAnsi="Times New Roman" w:cs="Times New Roman"/>
          <w:color w:val="000000"/>
          <w:sz w:val="24"/>
          <w:szCs w:val="24"/>
        </w:rPr>
        <w:t xml:space="preserve">internal </w:t>
      </w:r>
      <w:r w:rsidR="00CC2740">
        <w:rPr>
          <w:rFonts w:ascii="Times New Roman" w:eastAsia="Times New Roman" w:hAnsi="Times New Roman" w:cs="Times New Roman"/>
          <w:color w:val="000000"/>
          <w:sz w:val="24"/>
          <w:szCs w:val="24"/>
        </w:rPr>
        <w:t>standards</w:t>
      </w:r>
      <w:r w:rsidRPr="009F2268">
        <w:rPr>
          <w:rFonts w:ascii="Times New Roman" w:eastAsia="Times New Roman" w:hAnsi="Times New Roman" w:cs="Times New Roman"/>
          <w:color w:val="000000"/>
          <w:sz w:val="24"/>
          <w:szCs w:val="24"/>
        </w:rPr>
        <w:t xml:space="preserve"> to be used in conducting utilization re</w:t>
      </w:r>
      <w:r>
        <w:rPr>
          <w:rFonts w:ascii="Times New Roman" w:eastAsia="Times New Roman" w:hAnsi="Times New Roman" w:cs="Times New Roman"/>
          <w:color w:val="000000"/>
          <w:sz w:val="24"/>
          <w:szCs w:val="24"/>
        </w:rPr>
        <w:t>view, including the national criteria</w:t>
      </w:r>
      <w:r w:rsidR="006D345D">
        <w:rPr>
          <w:rFonts w:ascii="Times New Roman" w:eastAsia="Times New Roman" w:hAnsi="Times New Roman" w:cs="Times New Roman"/>
          <w:color w:val="000000"/>
          <w:sz w:val="24"/>
          <w:szCs w:val="24"/>
        </w:rPr>
        <w:t xml:space="preserve"> used by the carrier</w:t>
      </w:r>
      <w:r w:rsidR="006870AB">
        <w:rPr>
          <w:rFonts w:ascii="Times New Roman" w:eastAsia="Times New Roman" w:hAnsi="Times New Roman" w:cs="Times New Roman"/>
          <w:color w:val="000000"/>
          <w:sz w:val="24"/>
          <w:szCs w:val="24"/>
        </w:rPr>
        <w:t>;</w:t>
      </w:r>
    </w:p>
    <w:p w14:paraId="61452C1D" w14:textId="7345D615" w:rsidR="001B76EA" w:rsidRPr="009F2268" w:rsidRDefault="001B76EA" w:rsidP="006277DC">
      <w:pPr>
        <w:pStyle w:val="ListParagraph"/>
        <w:numPr>
          <w:ilvl w:val="1"/>
          <w:numId w:val="27"/>
        </w:numPr>
        <w:spacing w:after="0" w:line="240" w:lineRule="auto"/>
        <w:rPr>
          <w:rFonts w:ascii="Times New Roman" w:hAnsi="Times New Roman" w:cs="Times New Roman"/>
          <w:sz w:val="24"/>
          <w:szCs w:val="24"/>
        </w:rPr>
      </w:pPr>
      <w:r w:rsidRPr="00801CF6">
        <w:rPr>
          <w:rFonts w:ascii="Times New Roman" w:eastAsia="Times New Roman" w:hAnsi="Times New Roman" w:cs="Times New Roman"/>
          <w:color w:val="000000"/>
          <w:sz w:val="24"/>
          <w:szCs w:val="24"/>
        </w:rPr>
        <w:t xml:space="preserve">How the </w:t>
      </w:r>
      <w:r>
        <w:rPr>
          <w:rFonts w:ascii="Times New Roman" w:eastAsia="Times New Roman" w:hAnsi="Times New Roman" w:cs="Times New Roman"/>
          <w:color w:val="000000"/>
          <w:sz w:val="24"/>
          <w:szCs w:val="24"/>
        </w:rPr>
        <w:t>carrier modifies</w:t>
      </w:r>
      <w:r w:rsidRPr="00801CF6">
        <w:rPr>
          <w:rFonts w:ascii="Times New Roman" w:eastAsia="Times New Roman" w:hAnsi="Times New Roman" w:cs="Times New Roman"/>
          <w:color w:val="000000"/>
          <w:sz w:val="24"/>
          <w:szCs w:val="24"/>
        </w:rPr>
        <w:t xml:space="preserve"> the standards fo</w:t>
      </w:r>
      <w:r>
        <w:rPr>
          <w:rFonts w:ascii="Times New Roman" w:eastAsia="Times New Roman" w:hAnsi="Times New Roman" w:cs="Times New Roman"/>
          <w:color w:val="000000"/>
          <w:sz w:val="24"/>
          <w:szCs w:val="24"/>
        </w:rPr>
        <w:t>r conducting utilization review, including internal guidance for national criteria</w:t>
      </w:r>
      <w:r w:rsidR="006870AB">
        <w:rPr>
          <w:rFonts w:ascii="Times New Roman" w:eastAsia="Times New Roman" w:hAnsi="Times New Roman" w:cs="Times New Roman"/>
          <w:color w:val="000000"/>
          <w:sz w:val="24"/>
          <w:szCs w:val="24"/>
        </w:rPr>
        <w:t>;</w:t>
      </w:r>
    </w:p>
    <w:p w14:paraId="35BA4F7E" w14:textId="2B2DD6EE" w:rsidR="001B76EA" w:rsidRPr="00801CF6" w:rsidRDefault="001B76EA" w:rsidP="006277DC">
      <w:pPr>
        <w:pStyle w:val="ListParagraph"/>
        <w:numPr>
          <w:ilvl w:val="1"/>
          <w:numId w:val="27"/>
        </w:numPr>
        <w:spacing w:after="0" w:line="240" w:lineRule="auto"/>
        <w:rPr>
          <w:rFonts w:ascii="Times New Roman" w:hAnsi="Times New Roman" w:cs="Times New Roman"/>
          <w:sz w:val="24"/>
          <w:szCs w:val="24"/>
        </w:rPr>
      </w:pPr>
      <w:r w:rsidRPr="00801CF6">
        <w:rPr>
          <w:rFonts w:ascii="Times New Roman" w:eastAsia="Times New Roman" w:hAnsi="Times New Roman" w:cs="Times New Roman"/>
          <w:color w:val="000000"/>
          <w:sz w:val="24"/>
          <w:szCs w:val="24"/>
        </w:rPr>
        <w:t xml:space="preserve">How </w:t>
      </w:r>
      <w:r w:rsidR="00A30720">
        <w:rPr>
          <w:rFonts w:ascii="Times New Roman" w:eastAsia="Times New Roman" w:hAnsi="Times New Roman" w:cs="Times New Roman"/>
          <w:color w:val="000000"/>
          <w:sz w:val="24"/>
          <w:szCs w:val="24"/>
        </w:rPr>
        <w:t xml:space="preserve">the </w:t>
      </w:r>
      <w:r w:rsidRPr="00801CF6">
        <w:rPr>
          <w:rFonts w:ascii="Times New Roman" w:eastAsia="Times New Roman" w:hAnsi="Times New Roman" w:cs="Times New Roman"/>
          <w:color w:val="000000"/>
          <w:sz w:val="24"/>
          <w:szCs w:val="24"/>
        </w:rPr>
        <w:t xml:space="preserve">carrier ensures the </w:t>
      </w:r>
      <w:r w:rsidR="00CC2740">
        <w:rPr>
          <w:rFonts w:ascii="Times New Roman" w:eastAsia="Times New Roman" w:hAnsi="Times New Roman" w:cs="Times New Roman"/>
          <w:color w:val="000000"/>
          <w:sz w:val="24"/>
          <w:szCs w:val="24"/>
        </w:rPr>
        <w:t>guidelines/</w:t>
      </w:r>
      <w:r w:rsidRPr="00801CF6">
        <w:rPr>
          <w:rFonts w:ascii="Times New Roman" w:eastAsia="Times New Roman" w:hAnsi="Times New Roman" w:cs="Times New Roman"/>
          <w:color w:val="000000"/>
          <w:sz w:val="24"/>
          <w:szCs w:val="24"/>
        </w:rPr>
        <w:t>criteria are sufficiently flexible to allow deviations when justified</w:t>
      </w:r>
      <w:r w:rsidR="006870AB">
        <w:rPr>
          <w:rFonts w:ascii="Times New Roman" w:eastAsia="Times New Roman" w:hAnsi="Times New Roman" w:cs="Times New Roman"/>
          <w:color w:val="000000"/>
          <w:sz w:val="24"/>
          <w:szCs w:val="24"/>
        </w:rPr>
        <w:t>; and</w:t>
      </w:r>
    </w:p>
    <w:p w14:paraId="47887162" w14:textId="6749F29E" w:rsidR="001B76EA" w:rsidRDefault="001B76EA" w:rsidP="006277DC">
      <w:pPr>
        <w:pStyle w:val="ListParagraph"/>
        <w:numPr>
          <w:ilvl w:val="1"/>
          <w:numId w:val="27"/>
        </w:numPr>
        <w:spacing w:after="0" w:line="240" w:lineRule="auto"/>
        <w:rPr>
          <w:rFonts w:ascii="Times New Roman" w:hAnsi="Times New Roman" w:cs="Times New Roman"/>
          <w:sz w:val="24"/>
          <w:szCs w:val="24"/>
        </w:rPr>
      </w:pPr>
      <w:r w:rsidRPr="00801CF6">
        <w:rPr>
          <w:rFonts w:ascii="Times New Roman" w:hAnsi="Times New Roman" w:cs="Times New Roman"/>
          <w:sz w:val="24"/>
          <w:szCs w:val="24"/>
        </w:rPr>
        <w:t xml:space="preserve">How often the </w:t>
      </w:r>
      <w:r w:rsidR="00CC2740">
        <w:rPr>
          <w:rFonts w:ascii="Times New Roman" w:hAnsi="Times New Roman" w:cs="Times New Roman"/>
          <w:sz w:val="24"/>
          <w:szCs w:val="24"/>
        </w:rPr>
        <w:t>guidelines/</w:t>
      </w:r>
      <w:r w:rsidRPr="00801CF6">
        <w:rPr>
          <w:rFonts w:ascii="Times New Roman" w:hAnsi="Times New Roman" w:cs="Times New Roman"/>
          <w:sz w:val="24"/>
          <w:szCs w:val="24"/>
        </w:rPr>
        <w:t xml:space="preserve">criteria are reviewed, evaluated, </w:t>
      </w:r>
      <w:r>
        <w:rPr>
          <w:rFonts w:ascii="Times New Roman" w:hAnsi="Times New Roman" w:cs="Times New Roman"/>
          <w:sz w:val="24"/>
          <w:szCs w:val="24"/>
        </w:rPr>
        <w:t>and updated.</w:t>
      </w:r>
    </w:p>
    <w:p w14:paraId="2181C33A" w14:textId="259D28C1" w:rsidR="001B01CA" w:rsidRDefault="001B01CA" w:rsidP="006870AB">
      <w:pPr>
        <w:pBdr>
          <w:top w:val="nil"/>
          <w:left w:val="nil"/>
          <w:bottom w:val="nil"/>
          <w:right w:val="nil"/>
          <w:between w:val="nil"/>
        </w:pBdr>
        <w:spacing w:after="0"/>
        <w:ind w:left="0" w:firstLine="0"/>
        <w:jc w:val="left"/>
        <w:rPr>
          <w:rFonts w:ascii="Times New Roman" w:eastAsia="Times New Roman" w:hAnsi="Times New Roman" w:cs="Times New Roman"/>
          <w:color w:val="000000"/>
          <w:sz w:val="24"/>
          <w:szCs w:val="24"/>
        </w:rPr>
      </w:pPr>
    </w:p>
    <w:p w14:paraId="0EDB14F2" w14:textId="43F8487E" w:rsidR="002A2A36" w:rsidRPr="00801CF6" w:rsidRDefault="00286D34" w:rsidP="0020321F">
      <w:pPr>
        <w:pBdr>
          <w:top w:val="nil"/>
          <w:left w:val="nil"/>
          <w:bottom w:val="nil"/>
          <w:right w:val="nil"/>
          <w:between w:val="nil"/>
        </w:pBdr>
        <w:spacing w:after="0"/>
        <w:ind w:left="360"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Answer the questions below f</w:t>
      </w:r>
      <w:r w:rsidR="001B01CA">
        <w:rPr>
          <w:rFonts w:ascii="Times New Roman" w:eastAsia="Times New Roman" w:hAnsi="Times New Roman" w:cs="Times New Roman"/>
          <w:color w:val="000000"/>
          <w:sz w:val="24"/>
          <w:szCs w:val="24"/>
        </w:rPr>
        <w:t xml:space="preserve">or </w:t>
      </w:r>
      <w:r w:rsidR="0020321F">
        <w:rPr>
          <w:rFonts w:ascii="Times New Roman" w:eastAsia="Times New Roman" w:hAnsi="Times New Roman" w:cs="Times New Roman"/>
          <w:color w:val="000000"/>
          <w:sz w:val="24"/>
          <w:szCs w:val="24"/>
        </w:rPr>
        <w:t>each</w:t>
      </w:r>
      <w:r w:rsidR="006870AB">
        <w:rPr>
          <w:rFonts w:ascii="Times New Roman" w:eastAsia="Times New Roman" w:hAnsi="Times New Roman" w:cs="Times New Roman"/>
          <w:color w:val="000000"/>
          <w:sz w:val="24"/>
          <w:szCs w:val="24"/>
        </w:rPr>
        <w:t xml:space="preserve"> of the following</w:t>
      </w:r>
      <w:r w:rsidR="0020321F">
        <w:rPr>
          <w:rFonts w:ascii="Times New Roman" w:eastAsia="Times New Roman" w:hAnsi="Times New Roman" w:cs="Times New Roman"/>
          <w:color w:val="000000"/>
          <w:sz w:val="24"/>
          <w:szCs w:val="24"/>
        </w:rPr>
        <w:t xml:space="preserve"> categor</w:t>
      </w:r>
      <w:r w:rsidR="006870AB">
        <w:rPr>
          <w:rFonts w:ascii="Times New Roman" w:eastAsia="Times New Roman" w:hAnsi="Times New Roman" w:cs="Times New Roman"/>
          <w:color w:val="000000"/>
          <w:sz w:val="24"/>
          <w:szCs w:val="24"/>
        </w:rPr>
        <w:t>ies</w:t>
      </w:r>
      <w:r w:rsidR="0020321F">
        <w:rPr>
          <w:rFonts w:ascii="Times New Roman" w:eastAsia="Times New Roman" w:hAnsi="Times New Roman" w:cs="Times New Roman"/>
          <w:color w:val="000000"/>
          <w:sz w:val="24"/>
          <w:szCs w:val="24"/>
        </w:rPr>
        <w:t xml:space="preserve">: </w:t>
      </w:r>
      <w:r w:rsidR="00483E0B" w:rsidRPr="00801CF6">
        <w:rPr>
          <w:rFonts w:ascii="Times New Roman" w:eastAsia="Times New Roman" w:hAnsi="Times New Roman" w:cs="Times New Roman"/>
          <w:color w:val="000000"/>
          <w:sz w:val="24"/>
          <w:szCs w:val="24"/>
        </w:rPr>
        <w:t>(</w:t>
      </w:r>
      <w:r w:rsidR="008E68BC" w:rsidRPr="00801CF6">
        <w:rPr>
          <w:rFonts w:ascii="Times New Roman" w:eastAsia="Times New Roman" w:hAnsi="Times New Roman" w:cs="Times New Roman"/>
          <w:color w:val="000000"/>
          <w:sz w:val="24"/>
          <w:szCs w:val="24"/>
        </w:rPr>
        <w:t>a)</w:t>
      </w:r>
      <w:r w:rsidR="00207976" w:rsidRPr="00801CF6">
        <w:rPr>
          <w:rFonts w:ascii="Times New Roman" w:eastAsia="Times New Roman" w:hAnsi="Times New Roman" w:cs="Times New Roman"/>
          <w:color w:val="000000"/>
          <w:sz w:val="24"/>
          <w:szCs w:val="24"/>
        </w:rPr>
        <w:t xml:space="preserve"> </w:t>
      </w:r>
      <w:r w:rsidR="00BC071C" w:rsidRPr="00801CF6">
        <w:rPr>
          <w:rFonts w:ascii="Times New Roman" w:eastAsia="Times New Roman" w:hAnsi="Times New Roman" w:cs="Times New Roman"/>
          <w:color w:val="000000"/>
          <w:sz w:val="24"/>
          <w:szCs w:val="24"/>
        </w:rPr>
        <w:t xml:space="preserve">independent, </w:t>
      </w:r>
      <w:r w:rsidR="00207976" w:rsidRPr="00801CF6">
        <w:rPr>
          <w:rFonts w:ascii="Times New Roman" w:eastAsia="Times New Roman" w:hAnsi="Times New Roman" w:cs="Times New Roman"/>
          <w:color w:val="000000"/>
          <w:sz w:val="24"/>
          <w:szCs w:val="24"/>
        </w:rPr>
        <w:t>external</w:t>
      </w:r>
      <w:r w:rsidR="00F31A41" w:rsidRPr="00801CF6">
        <w:rPr>
          <w:rFonts w:ascii="Times New Roman" w:eastAsia="Times New Roman" w:hAnsi="Times New Roman" w:cs="Times New Roman"/>
          <w:color w:val="000000"/>
          <w:sz w:val="24"/>
          <w:szCs w:val="24"/>
        </w:rPr>
        <w:t>ly developed level</w:t>
      </w:r>
      <w:r>
        <w:rPr>
          <w:rFonts w:ascii="Times New Roman" w:eastAsia="Times New Roman" w:hAnsi="Times New Roman" w:cs="Times New Roman"/>
          <w:color w:val="000000"/>
          <w:sz w:val="24"/>
          <w:szCs w:val="24"/>
        </w:rPr>
        <w:t>-</w:t>
      </w:r>
      <w:r w:rsidR="00F31A41" w:rsidRPr="00801CF6">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w:t>
      </w:r>
      <w:r w:rsidR="00F31A41" w:rsidRPr="00801CF6">
        <w:rPr>
          <w:rFonts w:ascii="Times New Roman" w:eastAsia="Times New Roman" w:hAnsi="Times New Roman" w:cs="Times New Roman"/>
          <w:color w:val="000000"/>
          <w:sz w:val="24"/>
          <w:szCs w:val="24"/>
        </w:rPr>
        <w:t xml:space="preserve">care </w:t>
      </w:r>
      <w:r w:rsidR="001D28B2" w:rsidRPr="00801CF6">
        <w:rPr>
          <w:rFonts w:ascii="Times New Roman" w:eastAsia="Times New Roman" w:hAnsi="Times New Roman" w:cs="Times New Roman"/>
          <w:color w:val="000000"/>
          <w:sz w:val="24"/>
          <w:szCs w:val="24"/>
        </w:rPr>
        <w:t>guideline</w:t>
      </w:r>
      <w:r w:rsidR="00A1458E" w:rsidRPr="00801CF6">
        <w:rPr>
          <w:rFonts w:ascii="Times New Roman" w:eastAsia="Times New Roman" w:hAnsi="Times New Roman" w:cs="Times New Roman"/>
          <w:color w:val="000000"/>
          <w:sz w:val="24"/>
          <w:szCs w:val="24"/>
        </w:rPr>
        <w:t>s</w:t>
      </w:r>
      <w:r w:rsidR="00CC2740">
        <w:rPr>
          <w:rFonts w:ascii="Times New Roman" w:eastAsia="Times New Roman" w:hAnsi="Times New Roman" w:cs="Times New Roman"/>
          <w:color w:val="000000"/>
          <w:sz w:val="24"/>
          <w:szCs w:val="24"/>
        </w:rPr>
        <w:t>/criteria</w:t>
      </w:r>
      <w:r w:rsidR="008E68BC" w:rsidRPr="00801CF6">
        <w:rPr>
          <w:rFonts w:ascii="Times New Roman" w:eastAsia="Times New Roman" w:hAnsi="Times New Roman" w:cs="Times New Roman"/>
          <w:color w:val="000000"/>
          <w:sz w:val="24"/>
          <w:szCs w:val="24"/>
        </w:rPr>
        <w:t xml:space="preserve">; </w:t>
      </w:r>
      <w:r w:rsidR="00483E0B" w:rsidRPr="00801CF6">
        <w:rPr>
          <w:rFonts w:ascii="Times New Roman" w:eastAsia="Times New Roman" w:hAnsi="Times New Roman" w:cs="Times New Roman"/>
          <w:color w:val="000000"/>
          <w:sz w:val="24"/>
          <w:szCs w:val="24"/>
        </w:rPr>
        <w:t>(</w:t>
      </w:r>
      <w:r w:rsidR="008E68BC" w:rsidRPr="00801CF6">
        <w:rPr>
          <w:rFonts w:ascii="Times New Roman" w:eastAsia="Times New Roman" w:hAnsi="Times New Roman" w:cs="Times New Roman"/>
          <w:color w:val="000000"/>
          <w:sz w:val="24"/>
          <w:szCs w:val="24"/>
        </w:rPr>
        <w:t>b)</w:t>
      </w:r>
      <w:r w:rsidR="00207976" w:rsidRPr="00801CF6">
        <w:rPr>
          <w:rFonts w:ascii="Times New Roman" w:eastAsia="Times New Roman" w:hAnsi="Times New Roman" w:cs="Times New Roman"/>
          <w:color w:val="000000"/>
          <w:sz w:val="24"/>
          <w:szCs w:val="24"/>
        </w:rPr>
        <w:t xml:space="preserve"> </w:t>
      </w:r>
      <w:r w:rsidR="00BC071C" w:rsidRPr="00801CF6">
        <w:rPr>
          <w:rFonts w:ascii="Times New Roman" w:eastAsia="Times New Roman" w:hAnsi="Times New Roman" w:cs="Times New Roman"/>
          <w:color w:val="000000"/>
          <w:sz w:val="24"/>
          <w:szCs w:val="24"/>
        </w:rPr>
        <w:t xml:space="preserve">independent, </w:t>
      </w:r>
      <w:r w:rsidR="008E68BC" w:rsidRPr="00801CF6">
        <w:rPr>
          <w:rFonts w:ascii="Times New Roman" w:hAnsi="Times New Roman" w:cs="Times New Roman"/>
          <w:sz w:val="24"/>
          <w:szCs w:val="24"/>
        </w:rPr>
        <w:t xml:space="preserve">externally </w:t>
      </w:r>
      <w:r w:rsidR="004B09D2" w:rsidRPr="00801CF6">
        <w:rPr>
          <w:rFonts w:ascii="Times New Roman" w:hAnsi="Times New Roman" w:cs="Times New Roman"/>
          <w:sz w:val="24"/>
          <w:szCs w:val="24"/>
        </w:rPr>
        <w:t>developed</w:t>
      </w:r>
      <w:r w:rsidR="00A1458E" w:rsidRPr="00801CF6">
        <w:rPr>
          <w:rFonts w:ascii="Times New Roman" w:hAnsi="Times New Roman" w:cs="Times New Roman"/>
          <w:sz w:val="24"/>
          <w:szCs w:val="24"/>
        </w:rPr>
        <w:t xml:space="preserve"> professional best practice</w:t>
      </w:r>
      <w:r w:rsidR="00CC2740">
        <w:rPr>
          <w:rFonts w:ascii="Times New Roman" w:hAnsi="Times New Roman" w:cs="Times New Roman"/>
          <w:sz w:val="24"/>
          <w:szCs w:val="24"/>
        </w:rPr>
        <w:t>s</w:t>
      </w:r>
      <w:r w:rsidR="00C8441A" w:rsidRPr="00801CF6">
        <w:rPr>
          <w:rFonts w:ascii="Times New Roman" w:hAnsi="Times New Roman" w:cs="Times New Roman"/>
          <w:sz w:val="24"/>
          <w:szCs w:val="24"/>
        </w:rPr>
        <w:t xml:space="preserve">; and (c) </w:t>
      </w:r>
      <w:r w:rsidRPr="00801CF6">
        <w:rPr>
          <w:rFonts w:ascii="Times New Roman" w:hAnsi="Times New Roman" w:cs="Times New Roman"/>
          <w:sz w:val="24"/>
          <w:szCs w:val="24"/>
        </w:rPr>
        <w:t xml:space="preserve">internally developed </w:t>
      </w:r>
      <w:r w:rsidR="00C8441A" w:rsidRPr="00801CF6">
        <w:rPr>
          <w:rFonts w:ascii="Times New Roman" w:hAnsi="Times New Roman" w:cs="Times New Roman"/>
          <w:sz w:val="24"/>
          <w:szCs w:val="24"/>
        </w:rPr>
        <w:t>guidelines</w:t>
      </w:r>
      <w:r w:rsidR="00CC2740">
        <w:rPr>
          <w:rFonts w:ascii="Times New Roman" w:hAnsi="Times New Roman" w:cs="Times New Roman"/>
          <w:sz w:val="24"/>
          <w:szCs w:val="24"/>
        </w:rPr>
        <w:t>/criteria</w:t>
      </w:r>
      <w:r w:rsidR="00AC5CFA">
        <w:rPr>
          <w:rFonts w:ascii="Times New Roman" w:hAnsi="Times New Roman" w:cs="Times New Roman"/>
          <w:sz w:val="24"/>
          <w:szCs w:val="24"/>
        </w:rPr>
        <w:t>:</w:t>
      </w:r>
    </w:p>
    <w:p w14:paraId="021AC03A" w14:textId="2A2BC00D" w:rsidR="00F2737F" w:rsidRPr="00801CF6" w:rsidRDefault="00F2737F">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6B737E53" w14:textId="27077E48" w:rsidR="00BC071C" w:rsidRPr="00801CF6" w:rsidRDefault="00BC071C" w:rsidP="006F1A26">
      <w:pPr>
        <w:pStyle w:val="ListParagraph"/>
        <w:numPr>
          <w:ilvl w:val="0"/>
          <w:numId w:val="27"/>
        </w:numPr>
        <w:pBdr>
          <w:top w:val="nil"/>
          <w:left w:val="nil"/>
          <w:bottom w:val="nil"/>
          <w:right w:val="nil"/>
          <w:between w:val="nil"/>
        </w:pBdr>
        <w:spacing w:after="0"/>
        <w:rPr>
          <w:rFonts w:ascii="Times New Roman" w:eastAsia="Times New Roman" w:hAnsi="Times New Roman" w:cs="Times New Roman"/>
          <w:color w:val="000000"/>
          <w:sz w:val="24"/>
          <w:szCs w:val="24"/>
        </w:rPr>
      </w:pPr>
      <w:r w:rsidRPr="00DC3CB9">
        <w:rPr>
          <w:rFonts w:ascii="Times New Roman" w:eastAsia="Times New Roman" w:hAnsi="Times New Roman" w:cs="Times New Roman"/>
          <w:color w:val="000000"/>
          <w:sz w:val="24"/>
          <w:szCs w:val="24"/>
        </w:rPr>
        <w:t>Does the carrier and/or its delegated entity utilize the identified guidelines/criteria in total and in accordance with generally accepted standards of care?</w:t>
      </w:r>
    </w:p>
    <w:p w14:paraId="65846174" w14:textId="77777777" w:rsidR="00BC071C" w:rsidRPr="00801CF6" w:rsidRDefault="00BC071C" w:rsidP="006F1A26">
      <w:pPr>
        <w:pStyle w:val="ListParagraph"/>
        <w:pBdr>
          <w:top w:val="nil"/>
          <w:left w:val="nil"/>
          <w:bottom w:val="nil"/>
          <w:right w:val="nil"/>
          <w:between w:val="nil"/>
        </w:pBdr>
        <w:spacing w:after="0"/>
        <w:ind w:left="1080" w:firstLine="0"/>
        <w:rPr>
          <w:rFonts w:ascii="Times New Roman" w:eastAsia="Times New Roman" w:hAnsi="Times New Roman" w:cs="Times New Roman"/>
          <w:color w:val="000000"/>
          <w:sz w:val="24"/>
          <w:szCs w:val="24"/>
        </w:rPr>
      </w:pPr>
    </w:p>
    <w:p w14:paraId="3FD4131E" w14:textId="002AA047" w:rsidR="00BC071C" w:rsidRPr="00801CF6" w:rsidRDefault="00BC071C" w:rsidP="006F1A26">
      <w:pPr>
        <w:pStyle w:val="ListParagraph"/>
        <w:numPr>
          <w:ilvl w:val="0"/>
          <w:numId w:val="27"/>
        </w:numPr>
        <w:pBdr>
          <w:top w:val="nil"/>
          <w:left w:val="nil"/>
          <w:bottom w:val="nil"/>
          <w:right w:val="nil"/>
          <w:between w:val="nil"/>
        </w:pBdr>
        <w:spacing w:after="0"/>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Does the carrier and/or its delegated entity modify the identified guidelines/criteria in any way? If yes, describe the specific modifications made and the rationale.</w:t>
      </w:r>
    </w:p>
    <w:p w14:paraId="7E538474" w14:textId="77777777" w:rsidR="00BC071C" w:rsidRPr="00801CF6" w:rsidRDefault="00BC071C" w:rsidP="00DC3CB9">
      <w:pPr>
        <w:pStyle w:val="ListParagraph"/>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639C0EEE" w14:textId="4ED2502B" w:rsidR="006870AB" w:rsidRDefault="006870AB" w:rsidP="0020321F">
      <w:pPr>
        <w:pBdr>
          <w:top w:val="nil"/>
          <w:left w:val="nil"/>
          <w:bottom w:val="nil"/>
          <w:right w:val="nil"/>
          <w:between w:val="nil"/>
        </w:pBdr>
        <w:spacing w:after="0"/>
        <w:ind w:left="0" w:right="-1080" w:firstLine="0"/>
        <w:jc w:val="left"/>
        <w:rPr>
          <w:rFonts w:ascii="Times New Roman" w:eastAsia="Times New Roman" w:hAnsi="Times New Roman" w:cs="Times New Roman"/>
          <w:color w:val="000000"/>
          <w:sz w:val="24"/>
          <w:szCs w:val="24"/>
        </w:rPr>
      </w:pPr>
      <w:r w:rsidRPr="006870AB">
        <w:rPr>
          <w:rFonts w:ascii="Times New Roman" w:eastAsia="Times New Roman" w:hAnsi="Times New Roman" w:cs="Times New Roman"/>
          <w:color w:val="000000"/>
          <w:sz w:val="24"/>
          <w:szCs w:val="24"/>
        </w:rPr>
        <w:t>Maryland law</w:t>
      </w:r>
      <w:r w:rsidR="00315738">
        <w:rPr>
          <w:rStyle w:val="FootnoteReference"/>
          <w:rFonts w:ascii="Times New Roman" w:eastAsia="Times New Roman" w:hAnsi="Times New Roman" w:cs="Times New Roman"/>
          <w:color w:val="000000"/>
          <w:sz w:val="24"/>
          <w:szCs w:val="24"/>
        </w:rPr>
        <w:footnoteReference w:id="5"/>
      </w:r>
      <w:r w:rsidRPr="006870AB">
        <w:rPr>
          <w:rFonts w:ascii="Times New Roman" w:eastAsia="Times New Roman" w:hAnsi="Times New Roman" w:cs="Times New Roman"/>
          <w:color w:val="000000"/>
          <w:sz w:val="24"/>
          <w:szCs w:val="24"/>
        </w:rPr>
        <w:t xml:space="preserve"> requires the use of ASAM criteria for medical necessity determinations </w:t>
      </w:r>
      <w:r w:rsidR="00315738">
        <w:rPr>
          <w:rFonts w:ascii="Times New Roman" w:eastAsia="Times New Roman" w:hAnsi="Times New Roman" w:cs="Times New Roman"/>
          <w:color w:val="000000"/>
          <w:sz w:val="24"/>
          <w:szCs w:val="24"/>
        </w:rPr>
        <w:t>of services to treat a substance use disorder</w:t>
      </w:r>
      <w:r w:rsidRPr="006870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w:t>
      </w:r>
      <w:r w:rsidRPr="006870AB">
        <w:rPr>
          <w:rFonts w:ascii="Times New Roman" w:eastAsia="Times New Roman" w:hAnsi="Times New Roman" w:cs="Times New Roman"/>
          <w:color w:val="000000"/>
          <w:sz w:val="24"/>
          <w:szCs w:val="24"/>
        </w:rPr>
        <w:t xml:space="preserve">omplete Data Supplement 5(B) </w:t>
      </w:r>
      <w:r w:rsidR="0033288A">
        <w:rPr>
          <w:rFonts w:ascii="Times New Roman" w:eastAsia="Times New Roman" w:hAnsi="Times New Roman" w:cs="Times New Roman"/>
          <w:color w:val="000000"/>
          <w:sz w:val="24"/>
          <w:szCs w:val="24"/>
        </w:rPr>
        <w:t xml:space="preserve">with respect to use of the </w:t>
      </w:r>
      <w:r w:rsidR="0033288A" w:rsidRPr="0033288A">
        <w:rPr>
          <w:rFonts w:ascii="Times New Roman" w:eastAsia="Times New Roman" w:hAnsi="Times New Roman" w:cs="Times New Roman"/>
          <w:color w:val="000000"/>
          <w:sz w:val="24"/>
          <w:szCs w:val="24"/>
        </w:rPr>
        <w:t>3rd Edition of "The ASAM Criteria</w:t>
      </w:r>
      <w:r w:rsidR="0033288A">
        <w:rPr>
          <w:rFonts w:ascii="Times New Roman" w:eastAsia="Times New Roman" w:hAnsi="Times New Roman" w:cs="Times New Roman"/>
          <w:color w:val="000000"/>
          <w:sz w:val="24"/>
          <w:szCs w:val="24"/>
        </w:rPr>
        <w:t>,</w:t>
      </w:r>
      <w:r w:rsidR="0033288A" w:rsidRPr="0033288A">
        <w:rPr>
          <w:rFonts w:ascii="Times New Roman" w:eastAsia="Times New Roman" w:hAnsi="Times New Roman" w:cs="Times New Roman"/>
          <w:color w:val="000000"/>
          <w:sz w:val="24"/>
          <w:szCs w:val="24"/>
        </w:rPr>
        <w:t xml:space="preserve"> Treatment Criteria for Substance-Related, </w:t>
      </w:r>
      <w:r w:rsidR="0033288A">
        <w:rPr>
          <w:rFonts w:ascii="Times New Roman" w:eastAsia="Times New Roman" w:hAnsi="Times New Roman" w:cs="Times New Roman"/>
          <w:color w:val="000000"/>
          <w:sz w:val="24"/>
          <w:szCs w:val="24"/>
        </w:rPr>
        <w:t xml:space="preserve">Addictive, </w:t>
      </w:r>
      <w:r w:rsidR="0033288A" w:rsidRPr="0033288A">
        <w:rPr>
          <w:rFonts w:ascii="Times New Roman" w:eastAsia="Times New Roman" w:hAnsi="Times New Roman" w:cs="Times New Roman"/>
          <w:color w:val="000000"/>
          <w:sz w:val="24"/>
          <w:szCs w:val="24"/>
        </w:rPr>
        <w:t>and Co-Occurring Conditions."</w:t>
      </w:r>
    </w:p>
    <w:p w14:paraId="7E8ABCFD" w14:textId="77777777" w:rsidR="006870AB" w:rsidRDefault="006870AB" w:rsidP="0020321F">
      <w:pPr>
        <w:pBdr>
          <w:top w:val="nil"/>
          <w:left w:val="nil"/>
          <w:bottom w:val="nil"/>
          <w:right w:val="nil"/>
          <w:between w:val="nil"/>
        </w:pBdr>
        <w:spacing w:after="0"/>
        <w:ind w:left="0" w:right="-1080" w:firstLine="0"/>
        <w:jc w:val="left"/>
        <w:rPr>
          <w:rFonts w:ascii="Times New Roman" w:eastAsia="Times New Roman" w:hAnsi="Times New Roman" w:cs="Times New Roman"/>
          <w:color w:val="000000"/>
          <w:sz w:val="24"/>
          <w:szCs w:val="24"/>
        </w:rPr>
      </w:pPr>
    </w:p>
    <w:p w14:paraId="276AF2AA" w14:textId="0112E8EE" w:rsidR="00DB10C0" w:rsidRDefault="00203C8B" w:rsidP="0020321F">
      <w:pPr>
        <w:pBdr>
          <w:top w:val="nil"/>
          <w:left w:val="nil"/>
          <w:bottom w:val="nil"/>
          <w:right w:val="nil"/>
          <w:between w:val="nil"/>
        </w:pBdr>
        <w:spacing w:after="0"/>
        <w:ind w:left="0" w:right="-1080" w:firstLine="0"/>
        <w:jc w:val="left"/>
        <w:rPr>
          <w:rFonts w:ascii="Times New Roman" w:eastAsia="Times New Roman" w:hAnsi="Times New Roman" w:cs="Times New Roman"/>
          <w:color w:val="000000"/>
          <w:sz w:val="24"/>
          <w:szCs w:val="24"/>
        </w:rPr>
      </w:pPr>
      <w:r w:rsidRPr="00801CF6">
        <w:rPr>
          <w:rFonts w:ascii="Times New Roman" w:eastAsia="Times New Roman" w:hAnsi="Times New Roman" w:cs="Times New Roman"/>
          <w:color w:val="000000"/>
          <w:sz w:val="24"/>
          <w:szCs w:val="24"/>
        </w:rPr>
        <w:t>Data Supplement</w:t>
      </w:r>
      <w:r w:rsidR="00760B2B" w:rsidRPr="00801CF6">
        <w:rPr>
          <w:rFonts w:ascii="Times New Roman" w:eastAsia="Times New Roman" w:hAnsi="Times New Roman" w:cs="Times New Roman"/>
          <w:color w:val="000000"/>
          <w:sz w:val="24"/>
          <w:szCs w:val="24"/>
        </w:rPr>
        <w:t>s</w:t>
      </w:r>
      <w:r w:rsidRPr="00801CF6">
        <w:rPr>
          <w:rFonts w:ascii="Times New Roman" w:eastAsia="Times New Roman" w:hAnsi="Times New Roman" w:cs="Times New Roman"/>
          <w:color w:val="000000"/>
          <w:sz w:val="24"/>
          <w:szCs w:val="24"/>
        </w:rPr>
        <w:t xml:space="preserve"> </w:t>
      </w:r>
      <w:r w:rsidR="00E0416C" w:rsidRPr="00801CF6">
        <w:rPr>
          <w:rFonts w:ascii="Times New Roman" w:eastAsia="Times New Roman" w:hAnsi="Times New Roman" w:cs="Times New Roman"/>
          <w:color w:val="000000"/>
          <w:sz w:val="24"/>
          <w:szCs w:val="24"/>
        </w:rPr>
        <w:t xml:space="preserve">5(A) </w:t>
      </w:r>
      <w:r w:rsidR="00760B2B" w:rsidRPr="00801CF6">
        <w:rPr>
          <w:rFonts w:ascii="Times New Roman" w:eastAsia="Times New Roman" w:hAnsi="Times New Roman" w:cs="Times New Roman"/>
          <w:color w:val="000000"/>
          <w:sz w:val="24"/>
          <w:szCs w:val="24"/>
        </w:rPr>
        <w:t xml:space="preserve">and 5(B) </w:t>
      </w:r>
      <w:r w:rsidRPr="00801CF6">
        <w:rPr>
          <w:rFonts w:ascii="Times New Roman" w:eastAsia="Times New Roman" w:hAnsi="Times New Roman" w:cs="Times New Roman"/>
          <w:color w:val="000000"/>
          <w:sz w:val="24"/>
          <w:szCs w:val="24"/>
        </w:rPr>
        <w:t xml:space="preserve">must be submitted to support the </w:t>
      </w:r>
      <w:r w:rsidR="00A30720" w:rsidRPr="00801CF6">
        <w:rPr>
          <w:rFonts w:ascii="Times New Roman" w:eastAsia="Times New Roman" w:hAnsi="Times New Roman" w:cs="Times New Roman"/>
          <w:color w:val="000000"/>
          <w:sz w:val="24"/>
          <w:szCs w:val="24"/>
        </w:rPr>
        <w:t>in</w:t>
      </w:r>
      <w:r w:rsidR="00A30720">
        <w:rPr>
          <w:rFonts w:ascii="Times New Roman" w:eastAsia="Times New Roman" w:hAnsi="Times New Roman" w:cs="Times New Roman"/>
          <w:color w:val="000000"/>
          <w:sz w:val="24"/>
          <w:szCs w:val="24"/>
        </w:rPr>
        <w:t>-</w:t>
      </w:r>
      <w:r w:rsidRPr="00801CF6">
        <w:rPr>
          <w:rFonts w:ascii="Times New Roman" w:eastAsia="Times New Roman" w:hAnsi="Times New Roman" w:cs="Times New Roman"/>
          <w:color w:val="000000"/>
          <w:sz w:val="24"/>
          <w:szCs w:val="24"/>
        </w:rPr>
        <w:t xml:space="preserve">operation comparative analysis under Step 5 for the </w:t>
      </w:r>
      <w:r w:rsidR="00E0416C" w:rsidRPr="00801CF6">
        <w:rPr>
          <w:rFonts w:ascii="Times New Roman" w:eastAsia="Times New Roman" w:hAnsi="Times New Roman" w:cs="Times New Roman"/>
          <w:color w:val="000000"/>
          <w:sz w:val="24"/>
          <w:szCs w:val="24"/>
        </w:rPr>
        <w:t>Medical Necessity</w:t>
      </w:r>
      <w:r w:rsidR="00204AB5" w:rsidRPr="00801CF6">
        <w:rPr>
          <w:rFonts w:ascii="Times New Roman" w:eastAsia="Times New Roman" w:hAnsi="Times New Roman" w:cs="Times New Roman"/>
          <w:color w:val="000000"/>
          <w:sz w:val="24"/>
          <w:szCs w:val="24"/>
        </w:rPr>
        <w:t xml:space="preserve"> Guidelines/Criteria</w:t>
      </w:r>
      <w:r w:rsidRPr="00801CF6">
        <w:rPr>
          <w:rFonts w:ascii="Times New Roman" w:eastAsia="Times New Roman" w:hAnsi="Times New Roman" w:cs="Times New Roman"/>
          <w:color w:val="000000"/>
          <w:sz w:val="24"/>
          <w:szCs w:val="24"/>
        </w:rPr>
        <w:t xml:space="preserve"> </w:t>
      </w:r>
      <w:r w:rsidR="0023351D">
        <w:rPr>
          <w:rFonts w:ascii="Times New Roman" w:eastAsia="Times New Roman" w:hAnsi="Times New Roman" w:cs="Times New Roman"/>
          <w:color w:val="000000"/>
          <w:sz w:val="24"/>
          <w:szCs w:val="24"/>
        </w:rPr>
        <w:t>and the ASAM criteria</w:t>
      </w:r>
      <w:r w:rsidRPr="00801CF6">
        <w:rPr>
          <w:rFonts w:ascii="Times New Roman" w:eastAsia="Times New Roman" w:hAnsi="Times New Roman" w:cs="Times New Roman"/>
          <w:color w:val="000000"/>
          <w:sz w:val="24"/>
          <w:szCs w:val="24"/>
        </w:rPr>
        <w:t>.</w:t>
      </w:r>
    </w:p>
    <w:p w14:paraId="1AD247C2" w14:textId="0CC5EA22" w:rsidR="00786FAF" w:rsidRPr="00801CF6" w:rsidRDefault="00786FAF" w:rsidP="005D0CA6">
      <w:pPr>
        <w:pBdr>
          <w:top w:val="nil"/>
          <w:left w:val="nil"/>
          <w:bottom w:val="nil"/>
          <w:right w:val="nil"/>
          <w:between w:val="nil"/>
        </w:pBdr>
        <w:spacing w:after="0"/>
        <w:ind w:right="-1080" w:firstLine="0"/>
        <w:jc w:val="left"/>
        <w:rPr>
          <w:rFonts w:ascii="Times New Roman" w:eastAsia="Times New Roman" w:hAnsi="Times New Roman" w:cs="Times New Roman"/>
          <w:color w:val="000000"/>
          <w:sz w:val="24"/>
          <w:szCs w:val="24"/>
        </w:rPr>
      </w:pPr>
    </w:p>
    <w:p w14:paraId="339A2385" w14:textId="01885CF2" w:rsidR="003E3627" w:rsidRPr="004F0CD8" w:rsidRDefault="003E3627" w:rsidP="004F0CD8">
      <w:pPr>
        <w:pStyle w:val="Heading1"/>
        <w:jc w:val="center"/>
      </w:pPr>
      <w:bookmarkStart w:id="51" w:name="_Toc229123354"/>
      <w:bookmarkStart w:id="52" w:name="_Toc229123632"/>
      <w:r w:rsidRPr="004F0CD8">
        <w:t>DISCLOSURE REQUIREMENT CHECKLISTS</w:t>
      </w:r>
      <w:bookmarkEnd w:id="51"/>
      <w:bookmarkEnd w:id="52"/>
    </w:p>
    <w:p w14:paraId="3B5174D1" w14:textId="77777777" w:rsidR="003E3627" w:rsidRPr="00801CF6" w:rsidRDefault="003E3627" w:rsidP="003E3627">
      <w:pPr>
        <w:pStyle w:val="Heading1"/>
        <w:spacing w:after="0"/>
        <w:ind w:left="0" w:firstLine="0"/>
        <w:rPr>
          <w:sz w:val="24"/>
          <w:szCs w:val="24"/>
          <w:u w:val="single"/>
        </w:rPr>
      </w:pPr>
    </w:p>
    <w:p w14:paraId="3EFB450D" w14:textId="7206B4F6" w:rsidR="003E3627" w:rsidRPr="00B2643F" w:rsidRDefault="001D2E49" w:rsidP="003E3627">
      <w:pPr>
        <w:pStyle w:val="Heading1"/>
        <w:spacing w:after="0"/>
        <w:ind w:left="0" w:firstLine="0"/>
        <w:rPr>
          <w:b w:val="0"/>
          <w:sz w:val="24"/>
          <w:szCs w:val="24"/>
          <w:u w:val="single"/>
        </w:rPr>
      </w:pPr>
      <w:bookmarkStart w:id="53" w:name="_Toc229123355"/>
      <w:bookmarkStart w:id="54" w:name="_Toc229123633"/>
      <w:r w:rsidRPr="00B2643F">
        <w:rPr>
          <w:b w:val="0"/>
          <w:sz w:val="24"/>
          <w:szCs w:val="24"/>
        </w:rPr>
        <w:t xml:space="preserve">In the NQTL Analysis </w:t>
      </w:r>
      <w:r w:rsidR="00B2643F" w:rsidRPr="00B2643F">
        <w:rPr>
          <w:b w:val="0"/>
          <w:sz w:val="24"/>
          <w:szCs w:val="24"/>
        </w:rPr>
        <w:t>Report Template, i</w:t>
      </w:r>
      <w:r w:rsidR="003E3627" w:rsidRPr="00B2643F">
        <w:rPr>
          <w:b w:val="0"/>
          <w:sz w:val="24"/>
          <w:szCs w:val="24"/>
        </w:rPr>
        <w:t>dentify the process</w:t>
      </w:r>
      <w:r w:rsidR="002B5541" w:rsidRPr="00B2643F">
        <w:rPr>
          <w:b w:val="0"/>
          <w:sz w:val="24"/>
          <w:szCs w:val="24"/>
        </w:rPr>
        <w:t>es</w:t>
      </w:r>
      <w:r w:rsidR="003E3627" w:rsidRPr="00B2643F">
        <w:rPr>
          <w:b w:val="0"/>
          <w:sz w:val="24"/>
          <w:szCs w:val="24"/>
        </w:rPr>
        <w:t xml:space="preserve"> used to comply with the Parity Act Disclosure Requirements for MH/SUD and </w:t>
      </w:r>
      <w:r w:rsidR="00FA3D0B" w:rsidRPr="00B2643F">
        <w:rPr>
          <w:b w:val="0"/>
          <w:color w:val="000000"/>
          <w:sz w:val="24"/>
          <w:szCs w:val="24"/>
        </w:rPr>
        <w:t>medical/surgical</w:t>
      </w:r>
      <w:r w:rsidR="00B57DDE">
        <w:rPr>
          <w:b w:val="0"/>
          <w:sz w:val="24"/>
          <w:szCs w:val="24"/>
        </w:rPr>
        <w:t xml:space="preserve"> b</w:t>
      </w:r>
      <w:r w:rsidR="003E3627" w:rsidRPr="00B2643F">
        <w:rPr>
          <w:b w:val="0"/>
          <w:sz w:val="24"/>
          <w:szCs w:val="24"/>
        </w:rPr>
        <w:t>enefits.</w:t>
      </w:r>
      <w:r w:rsidR="002B5541" w:rsidRPr="00B2643F">
        <w:rPr>
          <w:b w:val="0"/>
          <w:sz w:val="24"/>
          <w:szCs w:val="24"/>
        </w:rPr>
        <w:t xml:space="preserve"> (§15-144(e)(</w:t>
      </w:r>
      <w:r w:rsidR="002A3588" w:rsidRPr="00B2643F">
        <w:rPr>
          <w:b w:val="0"/>
          <w:sz w:val="24"/>
          <w:szCs w:val="24"/>
        </w:rPr>
        <w:t>8</w:t>
      </w:r>
      <w:r w:rsidR="002B5541" w:rsidRPr="00B2643F">
        <w:rPr>
          <w:b w:val="0"/>
          <w:sz w:val="24"/>
          <w:szCs w:val="24"/>
        </w:rPr>
        <w:t>)).</w:t>
      </w:r>
      <w:bookmarkEnd w:id="53"/>
      <w:bookmarkEnd w:id="54"/>
    </w:p>
    <w:p w14:paraId="4894D65E" w14:textId="77777777" w:rsidR="003E3627" w:rsidRPr="00B2643F" w:rsidRDefault="003E3627" w:rsidP="003E3627">
      <w:pPr>
        <w:pStyle w:val="Heading1"/>
        <w:spacing w:after="0"/>
        <w:ind w:left="0" w:firstLine="0"/>
        <w:rPr>
          <w:b w:val="0"/>
          <w:sz w:val="24"/>
          <w:szCs w:val="24"/>
        </w:rPr>
      </w:pPr>
    </w:p>
    <w:p w14:paraId="10F0BB67" w14:textId="130F62B0" w:rsidR="003E3627" w:rsidRPr="00B2643F" w:rsidRDefault="003E3627" w:rsidP="003E3627">
      <w:pPr>
        <w:pStyle w:val="Heading1"/>
        <w:spacing w:after="0"/>
        <w:ind w:left="0" w:firstLine="0"/>
        <w:rPr>
          <w:b w:val="0"/>
          <w:sz w:val="24"/>
          <w:szCs w:val="24"/>
        </w:rPr>
      </w:pPr>
      <w:bookmarkStart w:id="55" w:name="_Toc229123356"/>
      <w:bookmarkStart w:id="56" w:name="_Toc229123634"/>
      <w:r w:rsidRPr="00B2643F">
        <w:rPr>
          <w:b w:val="0"/>
          <w:sz w:val="24"/>
          <w:szCs w:val="24"/>
        </w:rPr>
        <w:t>Describe the process for disclosing the criteria used for a medical necessity determination for MH/SUD benefits to current or potential members, or to a contracting provider, upon request</w:t>
      </w:r>
      <w:bookmarkEnd w:id="55"/>
      <w:bookmarkEnd w:id="56"/>
      <w:r w:rsidR="00B2643F">
        <w:rPr>
          <w:b w:val="0"/>
          <w:sz w:val="24"/>
          <w:szCs w:val="24"/>
        </w:rPr>
        <w:t>, including:</w:t>
      </w:r>
    </w:p>
    <w:p w14:paraId="6783C2F4" w14:textId="77777777" w:rsidR="002B5541" w:rsidRPr="002B5541" w:rsidRDefault="002B5541" w:rsidP="002B5541"/>
    <w:p w14:paraId="7E521D6E" w14:textId="4E06A013" w:rsidR="003E3627" w:rsidRPr="00801CF6" w:rsidRDefault="00B2643F" w:rsidP="006277DC">
      <w:pPr>
        <w:numPr>
          <w:ilvl w:val="0"/>
          <w:numId w:val="16"/>
        </w:numPr>
        <w:pBdr>
          <w:top w:val="nil"/>
          <w:left w:val="nil"/>
          <w:bottom w:val="nil"/>
          <w:right w:val="nil"/>
          <w:between w:val="nil"/>
        </w:pBdr>
        <w:spacing w:after="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3E3627" w:rsidRPr="00801CF6">
        <w:rPr>
          <w:rFonts w:ascii="Times New Roman" w:eastAsia="Times New Roman" w:hAnsi="Times New Roman" w:cs="Times New Roman"/>
          <w:color w:val="000000"/>
          <w:sz w:val="24"/>
          <w:szCs w:val="24"/>
        </w:rPr>
        <w:t>nstructions, guidance or information available to the public concerning the carrier’s obligation to respond to disclosure requests, including where requests must be sent and what information is available in response to disclosure requests.</w:t>
      </w:r>
    </w:p>
    <w:p w14:paraId="2F3FFBF3" w14:textId="77777777" w:rsidR="003E3627" w:rsidRPr="00801CF6" w:rsidRDefault="003E3627" w:rsidP="003E3627">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44B15DD6" w14:textId="5806F048" w:rsidR="003E3627" w:rsidRPr="00801CF6" w:rsidRDefault="00B2643F" w:rsidP="006277DC">
      <w:pPr>
        <w:numPr>
          <w:ilvl w:val="0"/>
          <w:numId w:val="16"/>
        </w:numPr>
        <w:pBdr>
          <w:top w:val="nil"/>
          <w:left w:val="nil"/>
          <w:bottom w:val="nil"/>
          <w:right w:val="nil"/>
          <w:between w:val="nil"/>
        </w:pBdr>
        <w:spacing w:after="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3E3627" w:rsidRPr="00801CF6">
        <w:rPr>
          <w:rFonts w:ascii="Times New Roman" w:eastAsia="Times New Roman" w:hAnsi="Times New Roman" w:cs="Times New Roman"/>
          <w:color w:val="000000"/>
          <w:sz w:val="24"/>
          <w:szCs w:val="24"/>
        </w:rPr>
        <w:t>he designated division and/or individual(s) responsible for responding to disclosure requests.</w:t>
      </w:r>
    </w:p>
    <w:p w14:paraId="6369BC4C" w14:textId="77777777" w:rsidR="003E3627" w:rsidRPr="00801CF6" w:rsidRDefault="003E3627" w:rsidP="003E3627">
      <w:pPr>
        <w:spacing w:after="0"/>
        <w:ind w:left="0" w:firstLine="0"/>
        <w:rPr>
          <w:rFonts w:ascii="Times New Roman" w:eastAsia="Times New Roman" w:hAnsi="Times New Roman" w:cs="Times New Roman"/>
          <w:sz w:val="24"/>
          <w:szCs w:val="24"/>
        </w:rPr>
      </w:pPr>
    </w:p>
    <w:p w14:paraId="6A699C7A" w14:textId="16C8C2C5" w:rsidR="003E3627" w:rsidRPr="00801CF6" w:rsidRDefault="00B2643F" w:rsidP="006277DC">
      <w:pPr>
        <w:numPr>
          <w:ilvl w:val="0"/>
          <w:numId w:val="16"/>
        </w:numPr>
        <w:pBdr>
          <w:top w:val="nil"/>
          <w:left w:val="nil"/>
          <w:bottom w:val="nil"/>
          <w:right w:val="nil"/>
          <w:between w:val="nil"/>
        </w:pBdr>
        <w:spacing w:after="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w:t>
      </w:r>
      <w:r w:rsidR="003E3627" w:rsidRPr="00801CF6">
        <w:rPr>
          <w:rFonts w:ascii="Times New Roman" w:eastAsia="Times New Roman" w:hAnsi="Times New Roman" w:cs="Times New Roman"/>
          <w:color w:val="000000"/>
          <w:sz w:val="24"/>
          <w:szCs w:val="24"/>
        </w:rPr>
        <w:t xml:space="preserve">hether </w:t>
      </w:r>
      <w:r>
        <w:rPr>
          <w:rFonts w:ascii="Times New Roman" w:eastAsia="Times New Roman" w:hAnsi="Times New Roman" w:cs="Times New Roman"/>
          <w:color w:val="000000"/>
          <w:sz w:val="24"/>
          <w:szCs w:val="24"/>
        </w:rPr>
        <w:t xml:space="preserve">the </w:t>
      </w:r>
      <w:r w:rsidRPr="00801CF6">
        <w:rPr>
          <w:rFonts w:ascii="Times New Roman" w:eastAsia="Times New Roman" w:hAnsi="Times New Roman" w:cs="Times New Roman"/>
          <w:color w:val="000000"/>
          <w:sz w:val="24"/>
          <w:szCs w:val="24"/>
        </w:rPr>
        <w:t>designated division and/or individual(s) responsible for responding to disclosure requests</w:t>
      </w:r>
      <w:r w:rsidR="003E3627" w:rsidRPr="00801CF6">
        <w:rPr>
          <w:rFonts w:ascii="Times New Roman" w:eastAsia="Times New Roman" w:hAnsi="Times New Roman" w:cs="Times New Roman"/>
          <w:color w:val="000000"/>
          <w:sz w:val="24"/>
          <w:szCs w:val="24"/>
        </w:rPr>
        <w:t xml:space="preserve"> responded to any disclosure requests by denying access to the requested information and the basis for such denial. </w:t>
      </w:r>
    </w:p>
    <w:p w14:paraId="70A4F199" w14:textId="77777777" w:rsidR="003E3627" w:rsidRPr="00801CF6" w:rsidRDefault="003E3627" w:rsidP="003E3627">
      <w:pPr>
        <w:pBdr>
          <w:top w:val="nil"/>
          <w:left w:val="nil"/>
          <w:bottom w:val="nil"/>
          <w:right w:val="nil"/>
          <w:between w:val="nil"/>
        </w:pBdr>
        <w:spacing w:after="0"/>
        <w:ind w:firstLine="0"/>
        <w:rPr>
          <w:rFonts w:ascii="Times New Roman" w:eastAsia="Times New Roman" w:hAnsi="Times New Roman" w:cs="Times New Roman"/>
          <w:color w:val="000000"/>
          <w:sz w:val="24"/>
          <w:szCs w:val="24"/>
        </w:rPr>
      </w:pPr>
    </w:p>
    <w:p w14:paraId="02D56F66" w14:textId="1DE4CFA7" w:rsidR="003E3627" w:rsidRPr="00801CF6" w:rsidRDefault="00B2643F" w:rsidP="006277DC">
      <w:pPr>
        <w:numPr>
          <w:ilvl w:val="0"/>
          <w:numId w:val="16"/>
        </w:numPr>
        <w:pBdr>
          <w:top w:val="nil"/>
          <w:left w:val="nil"/>
          <w:bottom w:val="nil"/>
          <w:right w:val="nil"/>
          <w:between w:val="nil"/>
        </w:pBdr>
        <w:spacing w:after="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In</w:t>
      </w:r>
      <w:r w:rsidR="003E3627" w:rsidRPr="00801CF6">
        <w:rPr>
          <w:rFonts w:ascii="Times New Roman" w:eastAsia="Times New Roman" w:hAnsi="Times New Roman" w:cs="Times New Roman"/>
          <w:color w:val="000000"/>
          <w:sz w:val="24"/>
          <w:szCs w:val="24"/>
        </w:rPr>
        <w:t>ternal review process</w:t>
      </w:r>
      <w:r>
        <w:rPr>
          <w:rFonts w:ascii="Times New Roman" w:eastAsia="Times New Roman" w:hAnsi="Times New Roman" w:cs="Times New Roman"/>
          <w:color w:val="000000"/>
          <w:sz w:val="24"/>
          <w:szCs w:val="24"/>
        </w:rPr>
        <w:t>es</w:t>
      </w:r>
      <w:r w:rsidR="003E3627" w:rsidRPr="00801CF6">
        <w:rPr>
          <w:rFonts w:ascii="Times New Roman" w:eastAsia="Times New Roman" w:hAnsi="Times New Roman" w:cs="Times New Roman"/>
          <w:color w:val="000000"/>
          <w:sz w:val="24"/>
          <w:szCs w:val="24"/>
        </w:rPr>
        <w:t xml:space="preserve"> used to respond to disclosure requests for medical necessity </w:t>
      </w:r>
      <w:r>
        <w:rPr>
          <w:rFonts w:ascii="Times New Roman" w:eastAsia="Times New Roman" w:hAnsi="Times New Roman" w:cs="Times New Roman"/>
          <w:color w:val="000000"/>
          <w:sz w:val="24"/>
          <w:szCs w:val="24"/>
        </w:rPr>
        <w:t>guidelines/</w:t>
      </w:r>
      <w:r w:rsidR="003E3627" w:rsidRPr="00801CF6">
        <w:rPr>
          <w:rFonts w:ascii="Times New Roman" w:eastAsia="Times New Roman" w:hAnsi="Times New Roman" w:cs="Times New Roman"/>
          <w:color w:val="000000"/>
          <w:sz w:val="24"/>
          <w:szCs w:val="24"/>
        </w:rPr>
        <w:t>criteria.</w:t>
      </w:r>
    </w:p>
    <w:p w14:paraId="511F566C" w14:textId="77777777" w:rsidR="003E3627" w:rsidRPr="00801CF6" w:rsidRDefault="003E3627" w:rsidP="003E3627">
      <w:pPr>
        <w:pBdr>
          <w:top w:val="nil"/>
          <w:left w:val="nil"/>
          <w:bottom w:val="nil"/>
          <w:right w:val="nil"/>
          <w:between w:val="nil"/>
        </w:pBdr>
        <w:spacing w:after="0"/>
        <w:rPr>
          <w:rFonts w:ascii="Times New Roman" w:eastAsia="Times New Roman" w:hAnsi="Times New Roman" w:cs="Times New Roman"/>
          <w:color w:val="000000"/>
          <w:sz w:val="24"/>
          <w:szCs w:val="24"/>
        </w:rPr>
      </w:pPr>
    </w:p>
    <w:p w14:paraId="3A435A2F" w14:textId="5163D48D" w:rsidR="003E3627" w:rsidRPr="00801CF6" w:rsidRDefault="00B2643F" w:rsidP="006277DC">
      <w:pPr>
        <w:numPr>
          <w:ilvl w:val="0"/>
          <w:numId w:val="16"/>
        </w:numPr>
        <w:pBdr>
          <w:top w:val="nil"/>
          <w:left w:val="nil"/>
          <w:bottom w:val="nil"/>
          <w:right w:val="nil"/>
          <w:between w:val="nil"/>
        </w:pBdr>
        <w:spacing w:after="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3E3627" w:rsidRPr="00801CF6">
        <w:rPr>
          <w:rFonts w:ascii="Times New Roman" w:eastAsia="Times New Roman" w:hAnsi="Times New Roman" w:cs="Times New Roman"/>
          <w:color w:val="000000"/>
          <w:sz w:val="24"/>
          <w:szCs w:val="24"/>
        </w:rPr>
        <w:t>ny form</w:t>
      </w:r>
      <w:r>
        <w:rPr>
          <w:rFonts w:ascii="Times New Roman" w:eastAsia="Times New Roman" w:hAnsi="Times New Roman" w:cs="Times New Roman"/>
          <w:color w:val="000000"/>
          <w:sz w:val="24"/>
          <w:szCs w:val="24"/>
        </w:rPr>
        <w:t>s</w:t>
      </w:r>
      <w:r w:rsidR="003E3627" w:rsidRPr="00801CF6">
        <w:rPr>
          <w:rFonts w:ascii="Times New Roman" w:eastAsia="Times New Roman" w:hAnsi="Times New Roman" w:cs="Times New Roman"/>
          <w:color w:val="000000"/>
          <w:sz w:val="24"/>
          <w:szCs w:val="24"/>
        </w:rPr>
        <w:t xml:space="preserve"> used to explain medical necessity criteria in response to a </w:t>
      </w:r>
      <w:r w:rsidR="003E3627" w:rsidRPr="00801CF6">
        <w:rPr>
          <w:rFonts w:ascii="Times New Roman" w:eastAsia="Times New Roman" w:hAnsi="Times New Roman" w:cs="Times New Roman"/>
          <w:color w:val="221F1F"/>
          <w:sz w:val="24"/>
          <w:szCs w:val="24"/>
        </w:rPr>
        <w:t xml:space="preserve">participant, beneficiary, provider, or authorized representative of the </w:t>
      </w:r>
      <w:r>
        <w:rPr>
          <w:rFonts w:ascii="Times New Roman" w:eastAsia="Times New Roman" w:hAnsi="Times New Roman" w:cs="Times New Roman"/>
          <w:color w:val="221F1F"/>
          <w:sz w:val="24"/>
          <w:szCs w:val="24"/>
        </w:rPr>
        <w:t>member</w:t>
      </w:r>
      <w:r w:rsidR="003E3627" w:rsidRPr="00801CF6">
        <w:rPr>
          <w:rFonts w:ascii="Times New Roman" w:eastAsia="Times New Roman" w:hAnsi="Times New Roman" w:cs="Times New Roman"/>
          <w:color w:val="221F1F"/>
          <w:sz w:val="24"/>
          <w:szCs w:val="24"/>
        </w:rPr>
        <w:t>.</w:t>
      </w:r>
    </w:p>
    <w:p w14:paraId="44E78B99" w14:textId="77777777" w:rsidR="003E3627" w:rsidRPr="00801CF6" w:rsidRDefault="003E3627" w:rsidP="003E3627">
      <w:p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p>
    <w:p w14:paraId="01E35436" w14:textId="017E692C" w:rsidR="003E3627" w:rsidRPr="00B2643F" w:rsidRDefault="003E3627" w:rsidP="003E3627">
      <w:pPr>
        <w:spacing w:after="0"/>
        <w:ind w:left="0" w:firstLine="0"/>
        <w:rPr>
          <w:rFonts w:ascii="Times New Roman" w:eastAsia="Times New Roman" w:hAnsi="Times New Roman" w:cs="Times New Roman"/>
          <w:sz w:val="24"/>
          <w:szCs w:val="24"/>
        </w:rPr>
      </w:pPr>
      <w:r w:rsidRPr="00B2643F">
        <w:rPr>
          <w:rFonts w:ascii="Times New Roman" w:eastAsia="Times New Roman" w:hAnsi="Times New Roman" w:cs="Times New Roman"/>
          <w:sz w:val="24"/>
          <w:szCs w:val="24"/>
        </w:rPr>
        <w:t xml:space="preserve">Describe the process for disclosing the reasons for </w:t>
      </w:r>
      <w:r w:rsidR="00B2643F">
        <w:rPr>
          <w:rFonts w:ascii="Times New Roman" w:eastAsia="Times New Roman" w:hAnsi="Times New Roman" w:cs="Times New Roman"/>
          <w:sz w:val="24"/>
          <w:szCs w:val="24"/>
        </w:rPr>
        <w:t>a denial of benefits for MH/SUD, including:</w:t>
      </w:r>
    </w:p>
    <w:p w14:paraId="0922571D" w14:textId="77777777" w:rsidR="003E3627" w:rsidRPr="00801CF6" w:rsidRDefault="003E3627" w:rsidP="003E3627">
      <w:pPr>
        <w:spacing w:after="0"/>
        <w:ind w:left="0" w:firstLine="0"/>
        <w:rPr>
          <w:rFonts w:ascii="Times New Roman" w:eastAsia="Times New Roman" w:hAnsi="Times New Roman" w:cs="Times New Roman"/>
          <w:b/>
          <w:sz w:val="24"/>
          <w:szCs w:val="24"/>
        </w:rPr>
      </w:pPr>
    </w:p>
    <w:p w14:paraId="0574AF8F" w14:textId="558571B6" w:rsidR="003E3627" w:rsidRPr="00801CF6" w:rsidRDefault="00B2643F" w:rsidP="003E3627">
      <w:pPr>
        <w:numPr>
          <w:ilvl w:val="0"/>
          <w:numId w:val="2"/>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w:t>
      </w:r>
      <w:r w:rsidR="003E3627" w:rsidRPr="00801CF6">
        <w:rPr>
          <w:rFonts w:ascii="Times New Roman" w:eastAsia="Times New Roman" w:hAnsi="Times New Roman" w:cs="Times New Roman"/>
          <w:color w:val="000000"/>
          <w:sz w:val="24"/>
          <w:szCs w:val="24"/>
        </w:rPr>
        <w:t xml:space="preserve">internal review process used to respond to disclosure requests for denials of benefits. </w:t>
      </w:r>
    </w:p>
    <w:p w14:paraId="687FB803" w14:textId="77777777" w:rsidR="003E3627" w:rsidRPr="00801CF6" w:rsidRDefault="003E3627" w:rsidP="003E3627">
      <w:pPr>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p w14:paraId="06C32915" w14:textId="01FEFEB1" w:rsidR="003E3627" w:rsidRPr="00801CF6" w:rsidRDefault="00B2643F" w:rsidP="003E3627">
      <w:pPr>
        <w:numPr>
          <w:ilvl w:val="0"/>
          <w:numId w:val="2"/>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222222"/>
          <w:sz w:val="24"/>
          <w:szCs w:val="24"/>
        </w:rPr>
        <w:t>The</w:t>
      </w:r>
      <w:r w:rsidR="003E3627" w:rsidRPr="00801CF6">
        <w:rPr>
          <w:rFonts w:ascii="Times New Roman" w:eastAsia="Times New Roman" w:hAnsi="Times New Roman" w:cs="Times New Roman"/>
          <w:color w:val="222222"/>
          <w:sz w:val="24"/>
          <w:szCs w:val="24"/>
        </w:rPr>
        <w:t xml:space="preserve"> criteria for responding to a disclosure request based on a denial of benefits. </w:t>
      </w:r>
    </w:p>
    <w:p w14:paraId="080BBCFC" w14:textId="77777777" w:rsidR="003E3627" w:rsidRPr="00801CF6" w:rsidRDefault="003E3627" w:rsidP="003E3627">
      <w:pPr>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p w14:paraId="455DC56C" w14:textId="612AD122" w:rsidR="003E3627" w:rsidRPr="00801CF6" w:rsidRDefault="00B2643F" w:rsidP="003E3627">
      <w:pPr>
        <w:numPr>
          <w:ilvl w:val="0"/>
          <w:numId w:val="2"/>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221F1F"/>
          <w:sz w:val="24"/>
          <w:szCs w:val="24"/>
        </w:rPr>
        <w:t>T</w:t>
      </w:r>
      <w:r w:rsidR="003E3627" w:rsidRPr="00801CF6">
        <w:rPr>
          <w:rFonts w:ascii="Times New Roman" w:eastAsia="Times New Roman" w:hAnsi="Times New Roman" w:cs="Times New Roman"/>
          <w:color w:val="221F1F"/>
          <w:sz w:val="24"/>
          <w:szCs w:val="24"/>
        </w:rPr>
        <w:t xml:space="preserve">he number of disclosure requests received for denials of benefits and the number of instances when it failed to provide a response to a participant beneficiary, provider, or authorized representative of the </w:t>
      </w:r>
      <w:r>
        <w:rPr>
          <w:rFonts w:ascii="Times New Roman" w:eastAsia="Times New Roman" w:hAnsi="Times New Roman" w:cs="Times New Roman"/>
          <w:color w:val="221F1F"/>
          <w:sz w:val="24"/>
          <w:szCs w:val="24"/>
        </w:rPr>
        <w:t>member withi</w:t>
      </w:r>
      <w:r w:rsidR="003E3627" w:rsidRPr="00801CF6">
        <w:rPr>
          <w:rFonts w:ascii="Times New Roman" w:eastAsia="Times New Roman" w:hAnsi="Times New Roman" w:cs="Times New Roman"/>
          <w:color w:val="221F1F"/>
          <w:sz w:val="24"/>
          <w:szCs w:val="24"/>
        </w:rPr>
        <w:t>n 30 days of the request.</w:t>
      </w:r>
    </w:p>
    <w:p w14:paraId="396B8AB7" w14:textId="77777777" w:rsidR="003E3627" w:rsidRPr="00801CF6" w:rsidRDefault="003E3627" w:rsidP="003E3627">
      <w:pPr>
        <w:pBdr>
          <w:top w:val="nil"/>
          <w:left w:val="nil"/>
          <w:bottom w:val="nil"/>
          <w:right w:val="nil"/>
          <w:between w:val="nil"/>
        </w:pBdr>
        <w:rPr>
          <w:rFonts w:ascii="Times New Roman" w:eastAsia="Times New Roman" w:hAnsi="Times New Roman" w:cs="Times New Roman"/>
          <w:b/>
          <w:color w:val="000000"/>
          <w:sz w:val="24"/>
          <w:szCs w:val="24"/>
        </w:rPr>
      </w:pPr>
    </w:p>
    <w:p w14:paraId="6DB55715" w14:textId="1B7DE536" w:rsidR="003E3627" w:rsidRPr="00801CF6" w:rsidRDefault="003E3627" w:rsidP="003E3627">
      <w:pPr>
        <w:spacing w:after="0"/>
        <w:ind w:left="0" w:firstLine="0"/>
        <w:rPr>
          <w:rFonts w:ascii="Times New Roman" w:eastAsia="Times New Roman" w:hAnsi="Times New Roman" w:cs="Times New Roman"/>
          <w:b/>
          <w:sz w:val="24"/>
          <w:szCs w:val="24"/>
        </w:rPr>
      </w:pPr>
      <w:r w:rsidRPr="00801CF6">
        <w:rPr>
          <w:rFonts w:ascii="Times New Roman" w:eastAsia="Times New Roman" w:hAnsi="Times New Roman" w:cs="Times New Roman"/>
          <w:b/>
          <w:sz w:val="24"/>
          <w:szCs w:val="24"/>
        </w:rPr>
        <w:t>Describe the process for disclosing plan documents that contain information about the processes, strategies, evidentiary standards</w:t>
      </w:r>
      <w:r w:rsidR="00B2643F">
        <w:rPr>
          <w:rFonts w:ascii="Times New Roman" w:eastAsia="Times New Roman" w:hAnsi="Times New Roman" w:cs="Times New Roman"/>
          <w:b/>
          <w:sz w:val="24"/>
          <w:szCs w:val="24"/>
        </w:rPr>
        <w:t>,</w:t>
      </w:r>
      <w:r w:rsidRPr="00801CF6">
        <w:rPr>
          <w:rFonts w:ascii="Times New Roman" w:eastAsia="Times New Roman" w:hAnsi="Times New Roman" w:cs="Times New Roman"/>
          <w:b/>
          <w:sz w:val="24"/>
          <w:szCs w:val="24"/>
        </w:rPr>
        <w:t xml:space="preserve"> and any other factors used to apply a</w:t>
      </w:r>
      <w:r w:rsidR="00B2643F">
        <w:rPr>
          <w:rFonts w:ascii="Times New Roman" w:eastAsia="Times New Roman" w:hAnsi="Times New Roman" w:cs="Times New Roman"/>
          <w:b/>
          <w:sz w:val="24"/>
          <w:szCs w:val="24"/>
        </w:rPr>
        <w:t>n</w:t>
      </w:r>
      <w:r w:rsidRPr="00801CF6">
        <w:rPr>
          <w:rFonts w:ascii="Times New Roman" w:eastAsia="Times New Roman" w:hAnsi="Times New Roman" w:cs="Times New Roman"/>
          <w:b/>
          <w:sz w:val="24"/>
          <w:szCs w:val="24"/>
        </w:rPr>
        <w:t xml:space="preserve"> NQTL</w:t>
      </w:r>
      <w:r w:rsidRPr="00801CF6">
        <w:rPr>
          <w:rFonts w:ascii="Times New Roman" w:hAnsi="Times New Roman" w:cs="Times New Roman"/>
          <w:sz w:val="24"/>
          <w:szCs w:val="24"/>
        </w:rPr>
        <w:t xml:space="preserve"> </w:t>
      </w:r>
      <w:r w:rsidRPr="00801CF6">
        <w:rPr>
          <w:rFonts w:ascii="Times New Roman" w:eastAsia="Times New Roman" w:hAnsi="Times New Roman" w:cs="Times New Roman"/>
          <w:b/>
          <w:sz w:val="24"/>
          <w:szCs w:val="24"/>
        </w:rPr>
        <w:t xml:space="preserve">for MH/SUD </w:t>
      </w:r>
      <w:r w:rsidR="00B2643F">
        <w:rPr>
          <w:rFonts w:ascii="Times New Roman" w:eastAsia="Times New Roman" w:hAnsi="Times New Roman" w:cs="Times New Roman"/>
          <w:b/>
          <w:sz w:val="24"/>
          <w:szCs w:val="24"/>
        </w:rPr>
        <w:t xml:space="preserve">benefits </w:t>
      </w:r>
      <w:r w:rsidRPr="00801CF6">
        <w:rPr>
          <w:rFonts w:ascii="Times New Roman" w:eastAsia="Times New Roman" w:hAnsi="Times New Roman" w:cs="Times New Roman"/>
          <w:b/>
          <w:sz w:val="24"/>
          <w:szCs w:val="24"/>
        </w:rPr>
        <w:t xml:space="preserve">and </w:t>
      </w:r>
      <w:r w:rsidR="00FA3D0B" w:rsidRPr="00217B21">
        <w:rPr>
          <w:rFonts w:ascii="Times New Roman" w:eastAsia="Times New Roman" w:hAnsi="Times New Roman" w:cs="Times New Roman"/>
          <w:b/>
          <w:color w:val="000000"/>
          <w:sz w:val="24"/>
          <w:szCs w:val="24"/>
        </w:rPr>
        <w:t xml:space="preserve">medical/surgical </w:t>
      </w:r>
      <w:r w:rsidRPr="00801CF6">
        <w:rPr>
          <w:rFonts w:ascii="Times New Roman" w:eastAsia="Times New Roman" w:hAnsi="Times New Roman" w:cs="Times New Roman"/>
          <w:b/>
          <w:sz w:val="24"/>
          <w:szCs w:val="24"/>
        </w:rPr>
        <w:t>benefits in connection with a member's request for individual or group plan information and for purposes of filing an internal coverage</w:t>
      </w:r>
      <w:r w:rsidR="00B2643F">
        <w:rPr>
          <w:rFonts w:ascii="Times New Roman" w:eastAsia="Times New Roman" w:hAnsi="Times New Roman" w:cs="Times New Roman"/>
          <w:b/>
          <w:sz w:val="24"/>
          <w:szCs w:val="24"/>
        </w:rPr>
        <w:t xml:space="preserve"> or grievance matter and appeal</w:t>
      </w:r>
      <w:r w:rsidRPr="00801CF6">
        <w:rPr>
          <w:rFonts w:ascii="Times New Roman" w:eastAsia="Times New Roman" w:hAnsi="Times New Roman" w:cs="Times New Roman"/>
          <w:b/>
          <w:sz w:val="24"/>
          <w:szCs w:val="24"/>
        </w:rPr>
        <w:t xml:space="preserve">.  </w:t>
      </w:r>
    </w:p>
    <w:p w14:paraId="60DAC134" w14:textId="77777777" w:rsidR="003E3627" w:rsidRPr="00801CF6" w:rsidRDefault="003E3627" w:rsidP="003E3627">
      <w:pPr>
        <w:ind w:left="0" w:firstLine="0"/>
        <w:rPr>
          <w:rFonts w:ascii="Times New Roman" w:eastAsia="Times New Roman" w:hAnsi="Times New Roman" w:cs="Times New Roman"/>
          <w:b/>
          <w:sz w:val="24"/>
          <w:szCs w:val="24"/>
        </w:rPr>
      </w:pPr>
    </w:p>
    <w:p w14:paraId="4332DC67" w14:textId="19D15867" w:rsidR="003E3627" w:rsidRPr="00801CF6" w:rsidRDefault="00B57DDE" w:rsidP="003E3627">
      <w:pPr>
        <w:numPr>
          <w:ilvl w:val="0"/>
          <w:numId w:val="3"/>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Describe</w:t>
      </w:r>
      <w:r w:rsidR="003E3627" w:rsidRPr="00801CF6">
        <w:rPr>
          <w:rFonts w:ascii="Times New Roman" w:eastAsia="Times New Roman" w:hAnsi="Times New Roman" w:cs="Times New Roman"/>
          <w:color w:val="000000"/>
          <w:sz w:val="24"/>
          <w:szCs w:val="24"/>
        </w:rPr>
        <w:t xml:space="preserve"> how </w:t>
      </w:r>
      <w:r>
        <w:rPr>
          <w:rFonts w:ascii="Times New Roman" w:eastAsia="Times New Roman" w:hAnsi="Times New Roman" w:cs="Times New Roman"/>
          <w:color w:val="000000"/>
          <w:sz w:val="24"/>
          <w:szCs w:val="24"/>
        </w:rPr>
        <w:t>the carrier’s</w:t>
      </w:r>
      <w:r w:rsidR="003E3627" w:rsidRPr="00801CF6">
        <w:rPr>
          <w:rFonts w:ascii="Times New Roman" w:eastAsia="Times New Roman" w:hAnsi="Times New Roman" w:cs="Times New Roman"/>
          <w:color w:val="000000"/>
          <w:sz w:val="24"/>
          <w:szCs w:val="24"/>
        </w:rPr>
        <w:t xml:space="preserve"> procedures ensure that the following information is disclosed: </w:t>
      </w:r>
    </w:p>
    <w:p w14:paraId="113E4692" w14:textId="77777777" w:rsidR="003E3627" w:rsidRPr="00801CF6" w:rsidRDefault="003E3627" w:rsidP="003E3627">
      <w:pPr>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p w14:paraId="1D25F8C7" w14:textId="7E9B4D83" w:rsidR="003E3627" w:rsidRPr="00801CF6" w:rsidRDefault="00B57DDE" w:rsidP="006277DC">
      <w:pPr>
        <w:numPr>
          <w:ilvl w:val="1"/>
          <w:numId w:val="15"/>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I</w:t>
      </w:r>
      <w:r w:rsidR="003E3627" w:rsidRPr="00801CF6">
        <w:rPr>
          <w:rFonts w:ascii="Times New Roman" w:eastAsia="Times New Roman" w:hAnsi="Times New Roman" w:cs="Times New Roman"/>
          <w:color w:val="000000"/>
          <w:sz w:val="24"/>
          <w:szCs w:val="24"/>
        </w:rPr>
        <w:t>nformation regarding NQTLs that apply to MH/SUD</w:t>
      </w:r>
      <w:r>
        <w:rPr>
          <w:rFonts w:ascii="Times New Roman" w:eastAsia="Times New Roman" w:hAnsi="Times New Roman" w:cs="Times New Roman"/>
          <w:color w:val="000000"/>
          <w:sz w:val="24"/>
          <w:szCs w:val="24"/>
        </w:rPr>
        <w:t xml:space="preserve"> benefits</w:t>
      </w:r>
      <w:r w:rsidR="003E3627" w:rsidRPr="00801CF6">
        <w:rPr>
          <w:rFonts w:ascii="Times New Roman" w:eastAsia="Times New Roman" w:hAnsi="Times New Roman" w:cs="Times New Roman"/>
          <w:color w:val="000000"/>
          <w:sz w:val="24"/>
          <w:szCs w:val="24"/>
        </w:rPr>
        <w:t xml:space="preserve"> and/or medical/surgical benefits</w:t>
      </w:r>
      <w:r>
        <w:rPr>
          <w:rFonts w:ascii="Times New Roman" w:eastAsia="Times New Roman" w:hAnsi="Times New Roman" w:cs="Times New Roman"/>
          <w:color w:val="000000"/>
          <w:sz w:val="24"/>
          <w:szCs w:val="24"/>
        </w:rPr>
        <w:t>;</w:t>
      </w:r>
    </w:p>
    <w:p w14:paraId="54C5A470" w14:textId="50BEB519" w:rsidR="003E3627" w:rsidRPr="00801CF6" w:rsidRDefault="00B57DDE" w:rsidP="006277DC">
      <w:pPr>
        <w:numPr>
          <w:ilvl w:val="1"/>
          <w:numId w:val="15"/>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R</w:t>
      </w:r>
      <w:r w:rsidR="003E3627" w:rsidRPr="00801CF6">
        <w:rPr>
          <w:rFonts w:ascii="Times New Roman" w:eastAsia="Times New Roman" w:hAnsi="Times New Roman" w:cs="Times New Roman"/>
          <w:color w:val="000000"/>
          <w:sz w:val="24"/>
          <w:szCs w:val="24"/>
        </w:rPr>
        <w:t>ecords documenting NQTL processes and how the NQTLs are being applied to both medical/surgical</w:t>
      </w:r>
      <w:r>
        <w:rPr>
          <w:rFonts w:ascii="Times New Roman" w:eastAsia="Times New Roman" w:hAnsi="Times New Roman" w:cs="Times New Roman"/>
          <w:color w:val="000000"/>
          <w:sz w:val="24"/>
          <w:szCs w:val="24"/>
        </w:rPr>
        <w:t xml:space="preserve"> benefits </w:t>
      </w:r>
      <w:r w:rsidR="003E3627" w:rsidRPr="00801CF6">
        <w:rPr>
          <w:rFonts w:ascii="Times New Roman" w:eastAsia="Times New Roman" w:hAnsi="Times New Roman" w:cs="Times New Roman"/>
          <w:color w:val="000000"/>
          <w:sz w:val="24"/>
          <w:szCs w:val="24"/>
        </w:rPr>
        <w:t>and MH/SUD benefits</w:t>
      </w:r>
      <w:r>
        <w:rPr>
          <w:rFonts w:ascii="Times New Roman" w:eastAsia="Times New Roman" w:hAnsi="Times New Roman" w:cs="Times New Roman"/>
          <w:color w:val="000000"/>
          <w:sz w:val="24"/>
          <w:szCs w:val="24"/>
        </w:rPr>
        <w:t>;</w:t>
      </w:r>
    </w:p>
    <w:p w14:paraId="3D4234BB" w14:textId="137C85CE" w:rsidR="003E3627" w:rsidRPr="00801CF6" w:rsidRDefault="00B57DDE" w:rsidP="006277DC">
      <w:pPr>
        <w:numPr>
          <w:ilvl w:val="1"/>
          <w:numId w:val="15"/>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Records documenting h</w:t>
      </w:r>
      <w:r w:rsidR="003E3627" w:rsidRPr="00801CF6">
        <w:rPr>
          <w:rFonts w:ascii="Times New Roman" w:eastAsia="Times New Roman" w:hAnsi="Times New Roman" w:cs="Times New Roman"/>
          <w:color w:val="000000"/>
          <w:sz w:val="24"/>
          <w:szCs w:val="24"/>
        </w:rPr>
        <w:t xml:space="preserve">ow the </w:t>
      </w:r>
      <w:r>
        <w:rPr>
          <w:rFonts w:ascii="Times New Roman" w:eastAsia="Times New Roman" w:hAnsi="Times New Roman" w:cs="Times New Roman"/>
          <w:color w:val="000000"/>
          <w:sz w:val="24"/>
          <w:szCs w:val="24"/>
        </w:rPr>
        <w:t>NQTLs are</w:t>
      </w:r>
      <w:r w:rsidR="003E3627" w:rsidRPr="00801CF6">
        <w:rPr>
          <w:rFonts w:ascii="Times New Roman" w:eastAsia="Times New Roman" w:hAnsi="Times New Roman" w:cs="Times New Roman"/>
          <w:color w:val="000000"/>
          <w:sz w:val="24"/>
          <w:szCs w:val="24"/>
        </w:rPr>
        <w:t xml:space="preserve"> applied, and </w:t>
      </w:r>
      <w:r>
        <w:rPr>
          <w:rFonts w:ascii="Times New Roman" w:eastAsia="Times New Roman" w:hAnsi="Times New Roman" w:cs="Times New Roman"/>
          <w:color w:val="000000"/>
          <w:sz w:val="24"/>
          <w:szCs w:val="24"/>
        </w:rPr>
        <w:t>i</w:t>
      </w:r>
      <w:r w:rsidR="003E3627" w:rsidRPr="00801CF6">
        <w:rPr>
          <w:rFonts w:ascii="Times New Roman" w:eastAsia="Times New Roman" w:hAnsi="Times New Roman" w:cs="Times New Roman"/>
          <w:color w:val="000000"/>
          <w:sz w:val="24"/>
          <w:szCs w:val="24"/>
        </w:rPr>
        <w:t xml:space="preserve">nternal testing, review, or analysis done to support the rationale that the NQTL is being applied comparably and no more stringently to MH/SUD benefits than medical/surgical benefits. </w:t>
      </w:r>
    </w:p>
    <w:p w14:paraId="2FEDADD2" w14:textId="77777777" w:rsidR="003E3627" w:rsidRPr="00801CF6" w:rsidRDefault="003E3627" w:rsidP="003E3627">
      <w:pPr>
        <w:pBdr>
          <w:top w:val="nil"/>
          <w:left w:val="nil"/>
          <w:bottom w:val="nil"/>
          <w:right w:val="nil"/>
          <w:between w:val="nil"/>
        </w:pBdr>
        <w:spacing w:after="0"/>
        <w:ind w:left="1440" w:firstLine="0"/>
        <w:rPr>
          <w:rFonts w:ascii="Times New Roman" w:eastAsia="Times New Roman" w:hAnsi="Times New Roman" w:cs="Times New Roman"/>
          <w:b/>
          <w:color w:val="000000"/>
          <w:sz w:val="24"/>
          <w:szCs w:val="24"/>
        </w:rPr>
      </w:pPr>
    </w:p>
    <w:p w14:paraId="4C321A7E" w14:textId="5164DBBC" w:rsidR="003E3627" w:rsidRPr="00801CF6" w:rsidRDefault="00B57DDE" w:rsidP="006277DC">
      <w:pPr>
        <w:numPr>
          <w:ilvl w:val="0"/>
          <w:numId w:val="15"/>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Describe how the carrier’s</w:t>
      </w:r>
      <w:r w:rsidR="003E3627" w:rsidRPr="00801CF6">
        <w:rPr>
          <w:rFonts w:ascii="Times New Roman" w:eastAsia="Times New Roman" w:hAnsi="Times New Roman" w:cs="Times New Roman"/>
          <w:color w:val="000000"/>
          <w:sz w:val="24"/>
          <w:szCs w:val="24"/>
        </w:rPr>
        <w:t xml:space="preserve"> procedures ensure that any plan materials related to </w:t>
      </w:r>
      <w:r>
        <w:rPr>
          <w:rFonts w:ascii="Times New Roman" w:eastAsia="Times New Roman" w:hAnsi="Times New Roman" w:cs="Times New Roman"/>
          <w:color w:val="000000"/>
          <w:sz w:val="24"/>
          <w:szCs w:val="24"/>
        </w:rPr>
        <w:t>MHPAEA</w:t>
      </w:r>
      <w:r w:rsidR="003E3627" w:rsidRPr="00801CF6">
        <w:rPr>
          <w:rFonts w:ascii="Times New Roman" w:eastAsia="Times New Roman" w:hAnsi="Times New Roman" w:cs="Times New Roman"/>
          <w:color w:val="000000"/>
          <w:sz w:val="24"/>
          <w:szCs w:val="24"/>
        </w:rPr>
        <w:t xml:space="preserve"> compliance are disclosed in compliance with 45 C.F.R § 146.136, including the following: </w:t>
      </w:r>
    </w:p>
    <w:p w14:paraId="392F3F5F" w14:textId="77777777" w:rsidR="003E3627" w:rsidRPr="00801CF6" w:rsidRDefault="003E3627" w:rsidP="003E3627">
      <w:pPr>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p w14:paraId="649EF30E" w14:textId="71B29525" w:rsidR="003E3627" w:rsidRPr="00801CF6" w:rsidRDefault="00B57DDE" w:rsidP="006277DC">
      <w:pPr>
        <w:numPr>
          <w:ilvl w:val="1"/>
          <w:numId w:val="15"/>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R</w:t>
      </w:r>
      <w:r w:rsidR="003E3627" w:rsidRPr="00801CF6">
        <w:rPr>
          <w:rFonts w:ascii="Times New Roman" w:eastAsia="Times New Roman" w:hAnsi="Times New Roman" w:cs="Times New Roman"/>
          <w:color w:val="000000"/>
          <w:sz w:val="24"/>
          <w:szCs w:val="24"/>
        </w:rPr>
        <w:t>eferences to provisions as stated on specified pages of the policy or certificate, or other underlying guidelines or criteria not included in the policy or certificate that the</w:t>
      </w:r>
      <w:r>
        <w:rPr>
          <w:rFonts w:ascii="Times New Roman" w:eastAsia="Times New Roman" w:hAnsi="Times New Roman" w:cs="Times New Roman"/>
          <w:color w:val="000000"/>
          <w:sz w:val="24"/>
          <w:szCs w:val="24"/>
        </w:rPr>
        <w:t xml:space="preserve"> plan has consulted or relied </w:t>
      </w:r>
      <w:r w:rsidR="003E3627" w:rsidRPr="00801CF6">
        <w:rPr>
          <w:rFonts w:ascii="Times New Roman" w:eastAsia="Times New Roman" w:hAnsi="Times New Roman" w:cs="Times New Roman"/>
          <w:color w:val="000000"/>
          <w:sz w:val="24"/>
          <w:szCs w:val="24"/>
        </w:rPr>
        <w:t>on;</w:t>
      </w:r>
    </w:p>
    <w:p w14:paraId="40DF4E3B" w14:textId="43129C78" w:rsidR="003E3627" w:rsidRPr="00801CF6" w:rsidRDefault="00B57DDE" w:rsidP="006277DC">
      <w:pPr>
        <w:numPr>
          <w:ilvl w:val="1"/>
          <w:numId w:val="15"/>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I</w:t>
      </w:r>
      <w:r w:rsidR="003E3627" w:rsidRPr="00801CF6">
        <w:rPr>
          <w:rFonts w:ascii="Times New Roman" w:eastAsia="Times New Roman" w:hAnsi="Times New Roman" w:cs="Times New Roman"/>
          <w:color w:val="000000"/>
          <w:sz w:val="24"/>
          <w:szCs w:val="24"/>
        </w:rPr>
        <w:t xml:space="preserve">nformation regarding specific related factors or guidelines, such as applicable utilization review criteria;  </w:t>
      </w:r>
    </w:p>
    <w:p w14:paraId="51C907B9" w14:textId="365870B5" w:rsidR="003E3627" w:rsidRPr="00801CF6" w:rsidRDefault="00B57DDE" w:rsidP="006277DC">
      <w:pPr>
        <w:numPr>
          <w:ilvl w:val="1"/>
          <w:numId w:val="15"/>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F</w:t>
      </w:r>
      <w:r w:rsidR="003E3627" w:rsidRPr="00801CF6">
        <w:rPr>
          <w:rFonts w:ascii="Times New Roman" w:eastAsia="Times New Roman" w:hAnsi="Times New Roman" w:cs="Times New Roman"/>
          <w:color w:val="000000"/>
          <w:sz w:val="24"/>
          <w:szCs w:val="24"/>
        </w:rPr>
        <w:t>actors, such as cost or recommended stand</w:t>
      </w:r>
      <w:r>
        <w:rPr>
          <w:rFonts w:ascii="Times New Roman" w:eastAsia="Times New Roman" w:hAnsi="Times New Roman" w:cs="Times New Roman"/>
          <w:color w:val="000000"/>
          <w:sz w:val="24"/>
          <w:szCs w:val="24"/>
        </w:rPr>
        <w:t xml:space="preserve">ards of care, that are relied </w:t>
      </w:r>
      <w:r w:rsidR="003E3627" w:rsidRPr="00801CF6">
        <w:rPr>
          <w:rFonts w:ascii="Times New Roman" w:eastAsia="Times New Roman" w:hAnsi="Times New Roman" w:cs="Times New Roman"/>
          <w:color w:val="000000"/>
          <w:sz w:val="24"/>
          <w:szCs w:val="24"/>
        </w:rPr>
        <w:t xml:space="preserve">on for determining which </w:t>
      </w:r>
      <w:r w:rsidR="00FA3D0B" w:rsidRPr="00801CF6">
        <w:rPr>
          <w:rFonts w:ascii="Times New Roman" w:eastAsia="Times New Roman" w:hAnsi="Times New Roman" w:cs="Times New Roman"/>
          <w:color w:val="000000"/>
          <w:sz w:val="24"/>
          <w:szCs w:val="24"/>
        </w:rPr>
        <w:t>medical/surgical</w:t>
      </w:r>
      <w:r w:rsidR="003E3627" w:rsidRPr="00801C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benefits </w:t>
      </w:r>
      <w:r w:rsidR="003E3627" w:rsidRPr="00801CF6">
        <w:rPr>
          <w:rFonts w:ascii="Times New Roman" w:eastAsia="Times New Roman" w:hAnsi="Times New Roman" w:cs="Times New Roman"/>
          <w:color w:val="000000"/>
          <w:sz w:val="24"/>
          <w:szCs w:val="24"/>
        </w:rPr>
        <w:t>or MH/SUD benefits are subject to a</w:t>
      </w:r>
      <w:r>
        <w:rPr>
          <w:rFonts w:ascii="Times New Roman" w:eastAsia="Times New Roman" w:hAnsi="Times New Roman" w:cs="Times New Roman"/>
          <w:color w:val="000000"/>
          <w:sz w:val="24"/>
          <w:szCs w:val="24"/>
        </w:rPr>
        <w:t>n</w:t>
      </w:r>
      <w:r w:rsidR="003E3627" w:rsidRPr="00801C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NQTL</w:t>
      </w:r>
      <w:r w:rsidR="003E3627" w:rsidRPr="00801CF6">
        <w:rPr>
          <w:rFonts w:ascii="Times New Roman" w:eastAsia="Times New Roman" w:hAnsi="Times New Roman" w:cs="Times New Roman"/>
          <w:color w:val="000000"/>
          <w:sz w:val="24"/>
          <w:szCs w:val="24"/>
        </w:rPr>
        <w:t xml:space="preserve">;  </w:t>
      </w:r>
    </w:p>
    <w:p w14:paraId="283A1954" w14:textId="270A5079" w:rsidR="003E3627" w:rsidRPr="00801CF6" w:rsidRDefault="00B57DDE" w:rsidP="006277DC">
      <w:pPr>
        <w:numPr>
          <w:ilvl w:val="1"/>
          <w:numId w:val="15"/>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R</w:t>
      </w:r>
      <w:r w:rsidR="003E3627" w:rsidRPr="00801CF6">
        <w:rPr>
          <w:rFonts w:ascii="Times New Roman" w:eastAsia="Times New Roman" w:hAnsi="Times New Roman" w:cs="Times New Roman"/>
          <w:color w:val="000000"/>
          <w:sz w:val="24"/>
          <w:szCs w:val="24"/>
        </w:rPr>
        <w:t>equirement</w:t>
      </w:r>
      <w:r>
        <w:rPr>
          <w:rFonts w:ascii="Times New Roman" w:eastAsia="Times New Roman" w:hAnsi="Times New Roman" w:cs="Times New Roman"/>
          <w:color w:val="000000"/>
          <w:sz w:val="24"/>
          <w:szCs w:val="24"/>
        </w:rPr>
        <w:t>s</w:t>
      </w:r>
      <w:r w:rsidR="003E3627" w:rsidRPr="00801CF6">
        <w:rPr>
          <w:rFonts w:ascii="Times New Roman" w:eastAsia="Times New Roman" w:hAnsi="Times New Roman" w:cs="Times New Roman"/>
          <w:color w:val="000000"/>
          <w:sz w:val="24"/>
          <w:szCs w:val="24"/>
        </w:rPr>
        <w:t xml:space="preserve"> or limitation that the applicable plan believes has been used in any given MH/SUD service adverse decision within the relevant classification; and</w:t>
      </w:r>
    </w:p>
    <w:p w14:paraId="57EA6C2D" w14:textId="07CCBD89" w:rsidR="003E3627" w:rsidRPr="00801CF6" w:rsidRDefault="00CB0CC1" w:rsidP="006277DC">
      <w:pPr>
        <w:numPr>
          <w:ilvl w:val="1"/>
          <w:numId w:val="15"/>
        </w:numPr>
        <w:pBdr>
          <w:top w:val="nil"/>
          <w:left w:val="nil"/>
          <w:bottom w:val="nil"/>
          <w:right w:val="nil"/>
          <w:between w:val="nil"/>
        </w:pBdr>
        <w:spacing w:after="0"/>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M</w:t>
      </w:r>
      <w:r w:rsidR="003E3627" w:rsidRPr="00801CF6">
        <w:rPr>
          <w:rFonts w:ascii="Times New Roman" w:eastAsia="Times New Roman" w:hAnsi="Times New Roman" w:cs="Times New Roman"/>
          <w:color w:val="000000"/>
          <w:sz w:val="24"/>
          <w:szCs w:val="24"/>
        </w:rPr>
        <w:t>edica</w:t>
      </w:r>
      <w:r>
        <w:rPr>
          <w:rFonts w:ascii="Times New Roman" w:eastAsia="Times New Roman" w:hAnsi="Times New Roman" w:cs="Times New Roman"/>
          <w:color w:val="000000"/>
          <w:sz w:val="24"/>
          <w:szCs w:val="24"/>
        </w:rPr>
        <w:t xml:space="preserve">l necessity guidelines relied </w:t>
      </w:r>
      <w:r w:rsidR="003E3627" w:rsidRPr="00801CF6">
        <w:rPr>
          <w:rFonts w:ascii="Times New Roman" w:eastAsia="Times New Roman" w:hAnsi="Times New Roman" w:cs="Times New Roman"/>
          <w:color w:val="000000"/>
          <w:sz w:val="24"/>
          <w:szCs w:val="24"/>
        </w:rPr>
        <w:t xml:space="preserve">on for in- and out-of-network medical/surgical </w:t>
      </w:r>
      <w:r>
        <w:rPr>
          <w:rFonts w:ascii="Times New Roman" w:eastAsia="Times New Roman" w:hAnsi="Times New Roman" w:cs="Times New Roman"/>
          <w:color w:val="000000"/>
          <w:sz w:val="24"/>
          <w:szCs w:val="24"/>
        </w:rPr>
        <w:t xml:space="preserve">benefits </w:t>
      </w:r>
      <w:r w:rsidR="003E3627" w:rsidRPr="00801CF6">
        <w:rPr>
          <w:rFonts w:ascii="Times New Roman" w:eastAsia="Times New Roman" w:hAnsi="Times New Roman" w:cs="Times New Roman"/>
          <w:color w:val="000000"/>
          <w:sz w:val="24"/>
          <w:szCs w:val="24"/>
        </w:rPr>
        <w:t>and MH/SUD benefits.</w:t>
      </w:r>
    </w:p>
    <w:p w14:paraId="5744F12F" w14:textId="77777777" w:rsidR="003E3627" w:rsidRPr="00801CF6" w:rsidRDefault="003E3627" w:rsidP="003E3627">
      <w:pPr>
        <w:pBdr>
          <w:top w:val="nil"/>
          <w:left w:val="nil"/>
          <w:bottom w:val="nil"/>
          <w:right w:val="nil"/>
          <w:between w:val="nil"/>
        </w:pBdr>
        <w:spacing w:after="0"/>
        <w:ind w:left="1440" w:firstLine="0"/>
        <w:rPr>
          <w:rFonts w:ascii="Times New Roman" w:eastAsia="Times New Roman" w:hAnsi="Times New Roman" w:cs="Times New Roman"/>
          <w:b/>
          <w:color w:val="000000"/>
          <w:sz w:val="24"/>
          <w:szCs w:val="24"/>
        </w:rPr>
      </w:pPr>
    </w:p>
    <w:p w14:paraId="0AE57510" w14:textId="46E074C6" w:rsidR="003E3627" w:rsidRPr="00801CF6" w:rsidRDefault="00CB0CC1" w:rsidP="003E3627">
      <w:pPr>
        <w:numPr>
          <w:ilvl w:val="0"/>
          <w:numId w:val="9"/>
        </w:numPr>
        <w:pBdr>
          <w:top w:val="nil"/>
          <w:left w:val="nil"/>
          <w:bottom w:val="nil"/>
          <w:right w:val="nil"/>
          <w:between w:val="nil"/>
        </w:pBd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Provi</w:t>
      </w:r>
      <w:r w:rsidR="003E3627" w:rsidRPr="00801CF6">
        <w:rPr>
          <w:rFonts w:ascii="Times New Roman" w:eastAsia="Times New Roman" w:hAnsi="Times New Roman" w:cs="Times New Roman"/>
          <w:color w:val="000000"/>
          <w:sz w:val="24"/>
          <w:szCs w:val="24"/>
        </w:rPr>
        <w:t xml:space="preserve">de a list of the responses provided </w:t>
      </w:r>
      <w:r>
        <w:rPr>
          <w:rFonts w:ascii="Times New Roman" w:eastAsia="Times New Roman" w:hAnsi="Times New Roman" w:cs="Times New Roman"/>
          <w:color w:val="000000"/>
          <w:sz w:val="24"/>
          <w:szCs w:val="24"/>
        </w:rPr>
        <w:t>in calendar year 2025</w:t>
      </w:r>
      <w:r w:rsidR="003E3627" w:rsidRPr="00801CF6">
        <w:rPr>
          <w:rFonts w:ascii="Times New Roman" w:eastAsia="Times New Roman" w:hAnsi="Times New Roman" w:cs="Times New Roman"/>
          <w:color w:val="000000"/>
          <w:sz w:val="24"/>
          <w:szCs w:val="24"/>
        </w:rPr>
        <w:t xml:space="preserve"> to requests from a member or a member’s authorized representative for a copy of the NQTL comparative analysis.  The actual responses are not required to be included with the initial submission, but </w:t>
      </w:r>
      <w:r>
        <w:rPr>
          <w:rFonts w:ascii="Times New Roman" w:eastAsia="Times New Roman" w:hAnsi="Times New Roman" w:cs="Times New Roman"/>
          <w:color w:val="000000"/>
          <w:sz w:val="24"/>
          <w:szCs w:val="24"/>
        </w:rPr>
        <w:t xml:space="preserve">must </w:t>
      </w:r>
      <w:r w:rsidR="003E3627" w:rsidRPr="00801CF6">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 xml:space="preserve"> made</w:t>
      </w:r>
      <w:r w:rsidR="003E3627" w:rsidRPr="00801CF6">
        <w:rPr>
          <w:rFonts w:ascii="Times New Roman" w:eastAsia="Times New Roman" w:hAnsi="Times New Roman" w:cs="Times New Roman"/>
          <w:color w:val="000000"/>
          <w:sz w:val="24"/>
          <w:szCs w:val="24"/>
        </w:rPr>
        <w:t xml:space="preserve"> available to the Commissioner upon request.</w:t>
      </w:r>
    </w:p>
    <w:sectPr w:rsidR="003E3627" w:rsidRPr="00801CF6">
      <w:footerReference w:type="default" r:id="rId27"/>
      <w:pgSz w:w="12240" w:h="15840"/>
      <w:pgMar w:top="1440" w:right="1440" w:bottom="144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8FC9E" w14:textId="77777777" w:rsidR="00BD7148" w:rsidRDefault="00BD7148">
      <w:pPr>
        <w:spacing w:after="0" w:line="240" w:lineRule="auto"/>
      </w:pPr>
      <w:r>
        <w:separator/>
      </w:r>
    </w:p>
  </w:endnote>
  <w:endnote w:type="continuationSeparator" w:id="0">
    <w:p w14:paraId="3E45AC09" w14:textId="77777777" w:rsidR="00BD7148" w:rsidRDefault="00BD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Times New Roman"/>
    <w:charset w:val="00"/>
    <w:family w:val="swiss"/>
    <w:pitch w:val="variable"/>
    <w:sig w:usb0="800000BF" w:usb1="4000005B" w:usb2="00000000" w:usb3="00000000" w:csb0="0000000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1A04" w14:textId="013F35FC" w:rsidR="00A57178" w:rsidRDefault="00A57178">
    <w:pPr>
      <w:pBdr>
        <w:top w:val="nil"/>
        <w:left w:val="nil"/>
        <w:bottom w:val="nil"/>
        <w:right w:val="nil"/>
        <w:between w:val="nil"/>
      </w:pBdr>
      <w:tabs>
        <w:tab w:val="center" w:pos="4680"/>
        <w:tab w:val="right" w:pos="9360"/>
      </w:tabs>
      <w:spacing w:after="0" w:line="240" w:lineRule="auto"/>
      <w:ind w:left="0" w:firstLine="0"/>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9075E">
      <w:rPr>
        <w:rFonts w:ascii="Calibri" w:eastAsia="Calibri" w:hAnsi="Calibri" w:cs="Calibri"/>
        <w:noProof/>
        <w:color w:val="000000"/>
      </w:rPr>
      <w:t>21</w:t>
    </w:r>
    <w:r>
      <w:rPr>
        <w:rFonts w:ascii="Calibri" w:eastAsia="Calibri" w:hAnsi="Calibri" w:cs="Calibri"/>
        <w:color w:val="000000"/>
      </w:rPr>
      <w:fldChar w:fldCharType="end"/>
    </w:r>
  </w:p>
  <w:p w14:paraId="5218080F" w14:textId="77777777" w:rsidR="00A57178" w:rsidRDefault="00A57178">
    <w:pPr>
      <w:pBdr>
        <w:top w:val="nil"/>
        <w:left w:val="nil"/>
        <w:bottom w:val="nil"/>
        <w:right w:val="nil"/>
        <w:between w:val="nil"/>
      </w:pBdr>
      <w:tabs>
        <w:tab w:val="center" w:pos="4680"/>
        <w:tab w:val="right" w:pos="9360"/>
      </w:tabs>
      <w:spacing w:after="0" w:line="240" w:lineRule="auto"/>
      <w:ind w:left="0" w:firstLine="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10AEF" w14:textId="77777777" w:rsidR="00BD7148" w:rsidRDefault="00BD7148">
      <w:pPr>
        <w:spacing w:after="0" w:line="240" w:lineRule="auto"/>
      </w:pPr>
      <w:r>
        <w:separator/>
      </w:r>
    </w:p>
  </w:footnote>
  <w:footnote w:type="continuationSeparator" w:id="0">
    <w:p w14:paraId="1401FF3B" w14:textId="77777777" w:rsidR="00BD7148" w:rsidRDefault="00BD7148">
      <w:pPr>
        <w:spacing w:after="0" w:line="240" w:lineRule="auto"/>
      </w:pPr>
      <w:r>
        <w:continuationSeparator/>
      </w:r>
    </w:p>
  </w:footnote>
  <w:footnote w:id="1">
    <w:p w14:paraId="1A84BD21" w14:textId="627E2325" w:rsidR="00A57178" w:rsidRDefault="00A57178" w:rsidP="00DB278D">
      <w:pPr>
        <w:pStyle w:val="FootnoteText"/>
        <w:ind w:left="360" w:firstLine="0"/>
      </w:pPr>
      <w:r>
        <w:rPr>
          <w:rStyle w:val="FootnoteReference"/>
        </w:rPr>
        <w:footnoteRef/>
      </w:r>
      <w:r>
        <w:t xml:space="preserve"> </w:t>
      </w:r>
      <w:r w:rsidRPr="00A85D10">
        <w:rPr>
          <w:rFonts w:ascii="Times New Roman" w:hAnsi="Times New Roman" w:cs="Times New Roman"/>
        </w:rPr>
        <w:t>All statutory citations herein are to the Insurance Article, Maryland Annotated Code, unless otherwise noted.</w:t>
      </w:r>
      <w:r>
        <w:rPr>
          <w:rFonts w:ascii="Times New Roman" w:hAnsi="Times New Roman" w:cs="Times New Roman"/>
        </w:rPr>
        <w:t xml:space="preserve"> Citations to </w:t>
      </w:r>
      <w:r w:rsidRPr="00DB278D">
        <w:rPr>
          <w:rFonts w:ascii="Times New Roman" w:hAnsi="Times New Roman" w:cs="Times New Roman"/>
        </w:rPr>
        <w:t>§ 15-144</w:t>
      </w:r>
      <w:r>
        <w:rPr>
          <w:rFonts w:ascii="Times New Roman" w:hAnsi="Times New Roman" w:cs="Times New Roman"/>
        </w:rPr>
        <w:t xml:space="preserve"> are as amended by Md. S.</w:t>
      </w:r>
      <w:r w:rsidRPr="00BD6EC2">
        <w:rPr>
          <w:rFonts w:ascii="Times New Roman" w:hAnsi="Times New Roman" w:cs="Times New Roman"/>
        </w:rPr>
        <w:t xml:space="preserve"> Bill 205, </w:t>
      </w:r>
      <w:r>
        <w:rPr>
          <w:rFonts w:ascii="Times New Roman" w:hAnsi="Times New Roman" w:cs="Times New Roman"/>
        </w:rPr>
        <w:t xml:space="preserve">449th Sess. (2026), </w:t>
      </w:r>
      <w:r w:rsidRPr="00BD6EC2">
        <w:rPr>
          <w:rFonts w:ascii="Times New Roman" w:hAnsi="Times New Roman" w:cs="Times New Roman"/>
        </w:rPr>
        <w:t>effective July 1, 20</w:t>
      </w:r>
      <w:r>
        <w:rPr>
          <w:rFonts w:ascii="Times New Roman" w:hAnsi="Times New Roman" w:cs="Times New Roman"/>
        </w:rPr>
        <w:t>26</w:t>
      </w:r>
      <w:r w:rsidRPr="00BD6EC2">
        <w:rPr>
          <w:rFonts w:ascii="Times New Roman" w:hAnsi="Times New Roman" w:cs="Times New Roman"/>
        </w:rPr>
        <w:t>.</w:t>
      </w:r>
    </w:p>
  </w:footnote>
  <w:footnote w:id="2">
    <w:p w14:paraId="2A04BECD" w14:textId="6ACAEF38" w:rsidR="00A57178" w:rsidRPr="00115F6B" w:rsidRDefault="00A57178" w:rsidP="00BF411A">
      <w:pPr>
        <w:pStyle w:val="FootnoteText"/>
        <w:ind w:left="360" w:firstLine="0"/>
        <w:rPr>
          <w:rFonts w:ascii="Times New Roman" w:eastAsia="Calibri" w:hAnsi="Times New Roman" w:cs="Times New Roman"/>
          <w:color w:val="000000"/>
        </w:rPr>
      </w:pPr>
      <w:r>
        <w:rPr>
          <w:rStyle w:val="FootnoteReference"/>
        </w:rPr>
        <w:footnoteRef/>
      </w:r>
      <w:r>
        <w:t xml:space="preserve"> “</w:t>
      </w:r>
      <w:r w:rsidRPr="006E7A3E">
        <w:rPr>
          <w:rFonts w:ascii="Times New Roman" w:eastAsia="Calibri" w:hAnsi="Times New Roman" w:cs="Times New Roman"/>
          <w:color w:val="000000"/>
        </w:rPr>
        <w:t xml:space="preserve">Parity Act” is defined in </w:t>
      </w:r>
      <w:r w:rsidRPr="006E7A3E">
        <w:rPr>
          <w:rFonts w:ascii="Times New Roman" w:eastAsia="Times New Roman" w:hAnsi="Times New Roman" w:cs="Times New Roman"/>
          <w:color w:val="000000"/>
        </w:rPr>
        <w:t>§ 15-144(a)</w:t>
      </w:r>
      <w:r>
        <w:rPr>
          <w:rFonts w:ascii="Times New Roman" w:eastAsia="Times New Roman" w:hAnsi="Times New Roman" w:cs="Times New Roman"/>
          <w:color w:val="000000"/>
        </w:rPr>
        <w:t>(8)</w:t>
      </w:r>
      <w:r w:rsidRPr="006E7A3E">
        <w:rPr>
          <w:rFonts w:ascii="Times New Roman" w:eastAsia="Times New Roman" w:hAnsi="Times New Roman" w:cs="Times New Roman"/>
          <w:color w:val="000000"/>
        </w:rPr>
        <w:t xml:space="preserve"> as the “Paul Wellstone and Pete Do</w:t>
      </w:r>
      <w:r>
        <w:rPr>
          <w:rFonts w:ascii="Times New Roman" w:eastAsia="Times New Roman" w:hAnsi="Times New Roman" w:cs="Times New Roman"/>
          <w:color w:val="000000"/>
        </w:rPr>
        <w:t xml:space="preserve">menici Mental Health Parity and </w:t>
      </w:r>
      <w:r w:rsidRPr="006E7A3E">
        <w:rPr>
          <w:rFonts w:ascii="Times New Roman" w:eastAsia="Times New Roman" w:hAnsi="Times New Roman" w:cs="Times New Roman"/>
          <w:color w:val="000000"/>
        </w:rPr>
        <w:t>Addiction Equity Act of 2008, as amended….‘Parity Act’ includes 45 C.F.R. § 146.136, 29 C.F.R. § 2590.712, and any other related federal regulations found in the Code of Federal Regulations to implement or enforce the Paul Wellstone and Pete Domenici Mental Health Parity and Addition Equity Act of 2008.”</w:t>
      </w:r>
    </w:p>
  </w:footnote>
  <w:footnote w:id="3">
    <w:p w14:paraId="7E4A92D7" w14:textId="0E51CDEC" w:rsidR="00A57178" w:rsidRDefault="00A57178">
      <w:pPr>
        <w:pStyle w:val="FootnoteText"/>
      </w:pPr>
      <w:r>
        <w:rPr>
          <w:rStyle w:val="FootnoteReference"/>
        </w:rPr>
        <w:footnoteRef/>
      </w:r>
      <w:r>
        <w:t xml:space="preserve"> </w:t>
      </w:r>
      <w:r w:rsidRPr="00A85D10">
        <w:rPr>
          <w:rFonts w:ascii="Times New Roman" w:hAnsi="Times New Roman" w:cs="Times New Roman"/>
        </w:rPr>
        <w:t xml:space="preserve">See </w:t>
      </w:r>
      <w:r w:rsidRPr="00A85D10">
        <w:rPr>
          <w:rFonts w:ascii="Times New Roman" w:eastAsia="Times New Roman" w:hAnsi="Times New Roman" w:cs="Times New Roman"/>
        </w:rPr>
        <w:t>§ 15-1309(a)</w:t>
      </w:r>
      <w:r>
        <w:rPr>
          <w:rFonts w:ascii="Times New Roman" w:eastAsia="Times New Roman" w:hAnsi="Times New Roman" w:cs="Times New Roman"/>
        </w:rPr>
        <w:t>(2)-</w:t>
      </w:r>
      <w:r w:rsidRPr="00A85D10">
        <w:rPr>
          <w:rFonts w:ascii="Times New Roman" w:eastAsia="Times New Roman" w:hAnsi="Times New Roman" w:cs="Times New Roman"/>
        </w:rPr>
        <w:t>(3)</w:t>
      </w:r>
      <w:r>
        <w:rPr>
          <w:rFonts w:ascii="Times New Roman" w:eastAsia="Times New Roman" w:hAnsi="Times New Roman" w:cs="Times New Roman"/>
        </w:rPr>
        <w:t xml:space="preserve"> (definition of “plan” and “product”)</w:t>
      </w:r>
      <w:r w:rsidRPr="00A85D10">
        <w:rPr>
          <w:rFonts w:ascii="Times New Roman" w:eastAsia="Times New Roman" w:hAnsi="Times New Roman" w:cs="Times New Roman"/>
        </w:rPr>
        <w:t>.</w:t>
      </w:r>
    </w:p>
  </w:footnote>
  <w:footnote w:id="4">
    <w:p w14:paraId="66619F7E" w14:textId="2BE3CE26" w:rsidR="00A57178" w:rsidRDefault="00A57178">
      <w:pPr>
        <w:pStyle w:val="FootnoteText"/>
      </w:pPr>
      <w:r>
        <w:rPr>
          <w:rStyle w:val="FootnoteReference"/>
        </w:rPr>
        <w:footnoteRef/>
      </w:r>
      <w:r>
        <w:t xml:space="preserve"> </w:t>
      </w:r>
      <w:r w:rsidRPr="007C6F44">
        <w:rPr>
          <w:rFonts w:ascii="Times New Roman" w:hAnsi="Times New Roman" w:cs="Times New Roman"/>
        </w:rPr>
        <w:t>See the Certificate of Compliance at the end of the NQTL Analysis Report</w:t>
      </w:r>
      <w:r>
        <w:rPr>
          <w:rFonts w:ascii="Times New Roman" w:hAnsi="Times New Roman" w:cs="Times New Roman"/>
        </w:rPr>
        <w:t xml:space="preserve"> Template</w:t>
      </w:r>
      <w:r w:rsidRPr="007C6F44">
        <w:rPr>
          <w:rFonts w:ascii="Times New Roman" w:hAnsi="Times New Roman" w:cs="Times New Roman"/>
        </w:rPr>
        <w:t>.</w:t>
      </w:r>
      <w:r>
        <w:t xml:space="preserve"> </w:t>
      </w:r>
    </w:p>
  </w:footnote>
  <w:footnote w:id="5">
    <w:p w14:paraId="767D8E9A" w14:textId="68672473" w:rsidR="00A57178" w:rsidRDefault="00A57178">
      <w:pPr>
        <w:pStyle w:val="FootnoteText"/>
      </w:pPr>
      <w:r>
        <w:rPr>
          <w:rStyle w:val="FootnoteReference"/>
        </w:rPr>
        <w:footnoteRef/>
      </w:r>
      <w:r w:rsidRPr="00315738">
        <w:rPr>
          <w:rFonts w:ascii="Times New Roman" w:hAnsi="Times New Roman" w:cs="Times New Roman"/>
        </w:rPr>
        <w:t xml:space="preserve"> § 15-802.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90D"/>
    <w:multiLevelType w:val="hybridMultilevel"/>
    <w:tmpl w:val="84869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A21497"/>
    <w:multiLevelType w:val="multilevel"/>
    <w:tmpl w:val="15C0D6EA"/>
    <w:lvl w:ilvl="0">
      <w:start w:val="1"/>
      <w:numFmt w:val="bullet"/>
      <w:lvlText w:val="o"/>
      <w:lvlJc w:val="left"/>
      <w:pPr>
        <w:ind w:left="720" w:hanging="360"/>
      </w:pPr>
      <w:rPr>
        <w:rFonts w:ascii="Courier New" w:eastAsia="Courier New" w:hAnsi="Courier New" w:cs="Courier New"/>
      </w:rPr>
    </w:lvl>
    <w:lvl w:ilvl="1">
      <w:start w:val="270"/>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Quattrocento Sans" w:eastAsia="Quattrocento Sans" w:hAnsi="Quattrocento Sans" w:cs="Quattrocento Sans"/>
      </w:rPr>
    </w:lvl>
    <w:lvl w:ilvl="3">
      <w:start w:val="1"/>
      <w:numFmt w:val="bullet"/>
      <w:lvlText w:val="⮚"/>
      <w:lvlJc w:val="left"/>
      <w:pPr>
        <w:ind w:left="2880" w:hanging="360"/>
      </w:pPr>
      <w:rPr>
        <w:rFonts w:ascii="Quattrocento Sans" w:eastAsia="Quattrocento Sans" w:hAnsi="Quattrocento Sans" w:cs="Quattrocento Sans"/>
      </w:rPr>
    </w:lvl>
    <w:lvl w:ilvl="4">
      <w:start w:val="1"/>
      <w:numFmt w:val="bullet"/>
      <w:lvlText w:val="⮚"/>
      <w:lvlJc w:val="left"/>
      <w:pPr>
        <w:ind w:left="3600" w:hanging="360"/>
      </w:pPr>
      <w:rPr>
        <w:rFonts w:ascii="Quattrocento Sans" w:eastAsia="Quattrocento Sans" w:hAnsi="Quattrocento Sans" w:cs="Quattrocento Sans"/>
      </w:rPr>
    </w:lvl>
    <w:lvl w:ilvl="5">
      <w:start w:val="1"/>
      <w:numFmt w:val="bullet"/>
      <w:lvlText w:val="⮚"/>
      <w:lvlJc w:val="left"/>
      <w:pPr>
        <w:ind w:left="4320" w:hanging="360"/>
      </w:pPr>
      <w:rPr>
        <w:rFonts w:ascii="Quattrocento Sans" w:eastAsia="Quattrocento Sans" w:hAnsi="Quattrocento Sans" w:cs="Quattrocento Sans"/>
      </w:rPr>
    </w:lvl>
    <w:lvl w:ilvl="6">
      <w:start w:val="1"/>
      <w:numFmt w:val="bullet"/>
      <w:lvlText w:val="⮚"/>
      <w:lvlJc w:val="left"/>
      <w:pPr>
        <w:ind w:left="5040" w:hanging="360"/>
      </w:pPr>
      <w:rPr>
        <w:rFonts w:ascii="Quattrocento Sans" w:eastAsia="Quattrocento Sans" w:hAnsi="Quattrocento Sans" w:cs="Quattrocento Sans"/>
      </w:rPr>
    </w:lvl>
    <w:lvl w:ilvl="7">
      <w:start w:val="1"/>
      <w:numFmt w:val="bullet"/>
      <w:lvlText w:val="⮚"/>
      <w:lvlJc w:val="left"/>
      <w:pPr>
        <w:ind w:left="5760" w:hanging="360"/>
      </w:pPr>
      <w:rPr>
        <w:rFonts w:ascii="Quattrocento Sans" w:eastAsia="Quattrocento Sans" w:hAnsi="Quattrocento Sans" w:cs="Quattrocento Sans"/>
      </w:rPr>
    </w:lvl>
    <w:lvl w:ilvl="8">
      <w:start w:val="1"/>
      <w:numFmt w:val="bullet"/>
      <w:lvlText w:val="⮚"/>
      <w:lvlJc w:val="left"/>
      <w:pPr>
        <w:ind w:left="6480" w:hanging="360"/>
      </w:pPr>
      <w:rPr>
        <w:rFonts w:ascii="Quattrocento Sans" w:eastAsia="Quattrocento Sans" w:hAnsi="Quattrocento Sans" w:cs="Quattrocento Sans"/>
      </w:rPr>
    </w:lvl>
  </w:abstractNum>
  <w:abstractNum w:abstractNumId="2" w15:restartNumberingAfterBreak="0">
    <w:nsid w:val="0BDC348E"/>
    <w:multiLevelType w:val="multilevel"/>
    <w:tmpl w:val="C7162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585F25"/>
    <w:multiLevelType w:val="hybridMultilevel"/>
    <w:tmpl w:val="1E88AE86"/>
    <w:lvl w:ilvl="0" w:tplc="7C240196">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F7E760C"/>
    <w:multiLevelType w:val="multilevel"/>
    <w:tmpl w:val="E7F8A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204A08"/>
    <w:multiLevelType w:val="hybridMultilevel"/>
    <w:tmpl w:val="0122D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181280"/>
    <w:multiLevelType w:val="multilevel"/>
    <w:tmpl w:val="DF88F876"/>
    <w:lvl w:ilvl="0">
      <w:start w:val="1"/>
      <w:numFmt w:val="lowerLetter"/>
      <w:lvlText w:val="(%1)"/>
      <w:lvlJc w:val="left"/>
      <w:pPr>
        <w:ind w:left="108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7" w15:restartNumberingAfterBreak="0">
    <w:nsid w:val="191275B9"/>
    <w:multiLevelType w:val="hybridMultilevel"/>
    <w:tmpl w:val="1552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D3CBF"/>
    <w:multiLevelType w:val="hybridMultilevel"/>
    <w:tmpl w:val="114286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3B3978"/>
    <w:multiLevelType w:val="hybridMultilevel"/>
    <w:tmpl w:val="76A4CC28"/>
    <w:lvl w:ilvl="0" w:tplc="A0B26D5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5EA486">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0EF2CE">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7819F8">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E3200">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6F910">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38E8D4">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EDE36">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CE0A42">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AF336D"/>
    <w:multiLevelType w:val="hybridMultilevel"/>
    <w:tmpl w:val="A9ACA42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4977C03"/>
    <w:multiLevelType w:val="hybridMultilevel"/>
    <w:tmpl w:val="6BAE4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F738B8"/>
    <w:multiLevelType w:val="multilevel"/>
    <w:tmpl w:val="3188B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C0553D"/>
    <w:multiLevelType w:val="hybridMultilevel"/>
    <w:tmpl w:val="00029BAC"/>
    <w:lvl w:ilvl="0" w:tplc="9386DE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5EA4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0EF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7819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E32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6F9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38E8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EDE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CE0A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3E7A1F"/>
    <w:multiLevelType w:val="multilevel"/>
    <w:tmpl w:val="AFA0295C"/>
    <w:lvl w:ilvl="0">
      <w:start w:val="1"/>
      <w:numFmt w:val="bullet"/>
      <w:lvlText w:val="o"/>
      <w:lvlJc w:val="left"/>
      <w:pPr>
        <w:ind w:left="720" w:hanging="360"/>
      </w:pPr>
      <w:rPr>
        <w:rFonts w:ascii="Courier New" w:eastAsia="Courier New" w:hAnsi="Courier New" w:cs="Courier New"/>
      </w:rPr>
    </w:lvl>
    <w:lvl w:ilvl="1">
      <w:start w:val="270"/>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Quattrocento Sans" w:eastAsia="Quattrocento Sans" w:hAnsi="Quattrocento Sans" w:cs="Quattrocento Sans"/>
      </w:rPr>
    </w:lvl>
    <w:lvl w:ilvl="3">
      <w:start w:val="1"/>
      <w:numFmt w:val="bullet"/>
      <w:lvlText w:val="⮚"/>
      <w:lvlJc w:val="left"/>
      <w:pPr>
        <w:ind w:left="2880" w:hanging="360"/>
      </w:pPr>
      <w:rPr>
        <w:rFonts w:ascii="Quattrocento Sans" w:eastAsia="Quattrocento Sans" w:hAnsi="Quattrocento Sans" w:cs="Quattrocento Sans"/>
      </w:rPr>
    </w:lvl>
    <w:lvl w:ilvl="4">
      <w:start w:val="1"/>
      <w:numFmt w:val="bullet"/>
      <w:lvlText w:val="⮚"/>
      <w:lvlJc w:val="left"/>
      <w:pPr>
        <w:ind w:left="3600" w:hanging="360"/>
      </w:pPr>
      <w:rPr>
        <w:rFonts w:ascii="Quattrocento Sans" w:eastAsia="Quattrocento Sans" w:hAnsi="Quattrocento Sans" w:cs="Quattrocento Sans"/>
      </w:rPr>
    </w:lvl>
    <w:lvl w:ilvl="5">
      <w:start w:val="1"/>
      <w:numFmt w:val="bullet"/>
      <w:lvlText w:val="⮚"/>
      <w:lvlJc w:val="left"/>
      <w:pPr>
        <w:ind w:left="4320" w:hanging="360"/>
      </w:pPr>
      <w:rPr>
        <w:rFonts w:ascii="Quattrocento Sans" w:eastAsia="Quattrocento Sans" w:hAnsi="Quattrocento Sans" w:cs="Quattrocento Sans"/>
      </w:rPr>
    </w:lvl>
    <w:lvl w:ilvl="6">
      <w:start w:val="1"/>
      <w:numFmt w:val="bullet"/>
      <w:lvlText w:val="⮚"/>
      <w:lvlJc w:val="left"/>
      <w:pPr>
        <w:ind w:left="5040" w:hanging="360"/>
      </w:pPr>
      <w:rPr>
        <w:rFonts w:ascii="Quattrocento Sans" w:eastAsia="Quattrocento Sans" w:hAnsi="Quattrocento Sans" w:cs="Quattrocento Sans"/>
      </w:rPr>
    </w:lvl>
    <w:lvl w:ilvl="7">
      <w:start w:val="1"/>
      <w:numFmt w:val="bullet"/>
      <w:lvlText w:val="⮚"/>
      <w:lvlJc w:val="left"/>
      <w:pPr>
        <w:ind w:left="5760" w:hanging="360"/>
      </w:pPr>
      <w:rPr>
        <w:rFonts w:ascii="Quattrocento Sans" w:eastAsia="Quattrocento Sans" w:hAnsi="Quattrocento Sans" w:cs="Quattrocento Sans"/>
      </w:rPr>
    </w:lvl>
    <w:lvl w:ilvl="8">
      <w:start w:val="1"/>
      <w:numFmt w:val="bullet"/>
      <w:lvlText w:val="⮚"/>
      <w:lvlJc w:val="left"/>
      <w:pPr>
        <w:ind w:left="6480" w:hanging="360"/>
      </w:pPr>
      <w:rPr>
        <w:rFonts w:ascii="Quattrocento Sans" w:eastAsia="Quattrocento Sans" w:hAnsi="Quattrocento Sans" w:cs="Quattrocento Sans"/>
      </w:rPr>
    </w:lvl>
  </w:abstractNum>
  <w:abstractNum w:abstractNumId="15" w15:restartNumberingAfterBreak="0">
    <w:nsid w:val="2C8D671B"/>
    <w:multiLevelType w:val="multilevel"/>
    <w:tmpl w:val="66E84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386082"/>
    <w:multiLevelType w:val="multilevel"/>
    <w:tmpl w:val="3C166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717FF1"/>
    <w:multiLevelType w:val="multilevel"/>
    <w:tmpl w:val="3C166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D71225"/>
    <w:multiLevelType w:val="multilevel"/>
    <w:tmpl w:val="9ED6E90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016C62"/>
    <w:multiLevelType w:val="multilevel"/>
    <w:tmpl w:val="64380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046C97"/>
    <w:multiLevelType w:val="hybridMultilevel"/>
    <w:tmpl w:val="43F6B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0D49FC"/>
    <w:multiLevelType w:val="multilevel"/>
    <w:tmpl w:val="39A272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F0A3323"/>
    <w:multiLevelType w:val="multilevel"/>
    <w:tmpl w:val="1AEA028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CE7167"/>
    <w:multiLevelType w:val="hybridMultilevel"/>
    <w:tmpl w:val="2B2C9B92"/>
    <w:lvl w:ilvl="0" w:tplc="04090001">
      <w:start w:val="1"/>
      <w:numFmt w:val="bullet"/>
      <w:lvlText w:val=""/>
      <w:lvlJc w:val="left"/>
      <w:pPr>
        <w:ind w:left="664" w:hanging="360"/>
      </w:pPr>
      <w:rPr>
        <w:rFonts w:ascii="Symbol" w:hAnsi="Symbol" w:hint="default"/>
      </w:rPr>
    </w:lvl>
    <w:lvl w:ilvl="1" w:tplc="04090003" w:tentative="1">
      <w:start w:val="1"/>
      <w:numFmt w:val="bullet"/>
      <w:lvlText w:val="o"/>
      <w:lvlJc w:val="left"/>
      <w:pPr>
        <w:ind w:left="1384" w:hanging="360"/>
      </w:pPr>
      <w:rPr>
        <w:rFonts w:ascii="Courier New" w:hAnsi="Courier New" w:cs="Courier New" w:hint="default"/>
      </w:rPr>
    </w:lvl>
    <w:lvl w:ilvl="2" w:tplc="04090005" w:tentative="1">
      <w:start w:val="1"/>
      <w:numFmt w:val="bullet"/>
      <w:lvlText w:val=""/>
      <w:lvlJc w:val="left"/>
      <w:pPr>
        <w:ind w:left="2104" w:hanging="360"/>
      </w:pPr>
      <w:rPr>
        <w:rFonts w:ascii="Wingdings" w:hAnsi="Wingdings" w:hint="default"/>
      </w:rPr>
    </w:lvl>
    <w:lvl w:ilvl="3" w:tplc="04090001" w:tentative="1">
      <w:start w:val="1"/>
      <w:numFmt w:val="bullet"/>
      <w:lvlText w:val=""/>
      <w:lvlJc w:val="left"/>
      <w:pPr>
        <w:ind w:left="2824" w:hanging="360"/>
      </w:pPr>
      <w:rPr>
        <w:rFonts w:ascii="Symbol" w:hAnsi="Symbol" w:hint="default"/>
      </w:rPr>
    </w:lvl>
    <w:lvl w:ilvl="4" w:tplc="04090003" w:tentative="1">
      <w:start w:val="1"/>
      <w:numFmt w:val="bullet"/>
      <w:lvlText w:val="o"/>
      <w:lvlJc w:val="left"/>
      <w:pPr>
        <w:ind w:left="3544" w:hanging="360"/>
      </w:pPr>
      <w:rPr>
        <w:rFonts w:ascii="Courier New" w:hAnsi="Courier New" w:cs="Courier New" w:hint="default"/>
      </w:rPr>
    </w:lvl>
    <w:lvl w:ilvl="5" w:tplc="04090005" w:tentative="1">
      <w:start w:val="1"/>
      <w:numFmt w:val="bullet"/>
      <w:lvlText w:val=""/>
      <w:lvlJc w:val="left"/>
      <w:pPr>
        <w:ind w:left="4264" w:hanging="360"/>
      </w:pPr>
      <w:rPr>
        <w:rFonts w:ascii="Wingdings" w:hAnsi="Wingdings" w:hint="default"/>
      </w:rPr>
    </w:lvl>
    <w:lvl w:ilvl="6" w:tplc="04090001" w:tentative="1">
      <w:start w:val="1"/>
      <w:numFmt w:val="bullet"/>
      <w:lvlText w:val=""/>
      <w:lvlJc w:val="left"/>
      <w:pPr>
        <w:ind w:left="4984" w:hanging="360"/>
      </w:pPr>
      <w:rPr>
        <w:rFonts w:ascii="Symbol" w:hAnsi="Symbol" w:hint="default"/>
      </w:rPr>
    </w:lvl>
    <w:lvl w:ilvl="7" w:tplc="04090003" w:tentative="1">
      <w:start w:val="1"/>
      <w:numFmt w:val="bullet"/>
      <w:lvlText w:val="o"/>
      <w:lvlJc w:val="left"/>
      <w:pPr>
        <w:ind w:left="5704" w:hanging="360"/>
      </w:pPr>
      <w:rPr>
        <w:rFonts w:ascii="Courier New" w:hAnsi="Courier New" w:cs="Courier New" w:hint="default"/>
      </w:rPr>
    </w:lvl>
    <w:lvl w:ilvl="8" w:tplc="04090005" w:tentative="1">
      <w:start w:val="1"/>
      <w:numFmt w:val="bullet"/>
      <w:lvlText w:val=""/>
      <w:lvlJc w:val="left"/>
      <w:pPr>
        <w:ind w:left="6424" w:hanging="360"/>
      </w:pPr>
      <w:rPr>
        <w:rFonts w:ascii="Wingdings" w:hAnsi="Wingdings" w:hint="default"/>
      </w:rPr>
    </w:lvl>
  </w:abstractNum>
  <w:abstractNum w:abstractNumId="24" w15:restartNumberingAfterBreak="0">
    <w:nsid w:val="40954F16"/>
    <w:multiLevelType w:val="hybridMultilevel"/>
    <w:tmpl w:val="6A4A2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B6478A"/>
    <w:multiLevelType w:val="hybridMultilevel"/>
    <w:tmpl w:val="6AD61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CA04B6"/>
    <w:multiLevelType w:val="multilevel"/>
    <w:tmpl w:val="F6E0A6D2"/>
    <w:lvl w:ilvl="0">
      <w:start w:val="1"/>
      <w:numFmt w:val="bullet"/>
      <w:lvlText w:val="●"/>
      <w:lvlJc w:val="left"/>
      <w:pPr>
        <w:ind w:left="720" w:hanging="360"/>
      </w:pPr>
      <w:rPr>
        <w:rFonts w:ascii="Quattrocento Sans" w:eastAsia="Quattrocento Sans" w:hAnsi="Quattrocento Sans" w:cs="Quattrocento Sans"/>
      </w:rPr>
    </w:lvl>
    <w:lvl w:ilvl="1">
      <w:start w:val="1"/>
      <w:numFmt w:val="bullet"/>
      <w:lvlText w:val="○"/>
      <w:lvlJc w:val="left"/>
      <w:pPr>
        <w:ind w:left="1440" w:hanging="360"/>
      </w:pPr>
      <w:rPr>
        <w:rFonts w:ascii="Quattrocento Sans" w:eastAsia="Quattrocento Sans" w:hAnsi="Quattrocento Sans" w:cs="Quattrocento Sans"/>
      </w:rPr>
    </w:lvl>
    <w:lvl w:ilvl="2">
      <w:start w:val="1"/>
      <w:numFmt w:val="bullet"/>
      <w:lvlText w:val="■"/>
      <w:lvlJc w:val="left"/>
      <w:pPr>
        <w:ind w:left="2160" w:hanging="360"/>
      </w:pPr>
      <w:rPr>
        <w:rFonts w:ascii="Quattrocento Sans" w:eastAsia="Quattrocento Sans" w:hAnsi="Quattrocento Sans" w:cs="Quattrocento Sans"/>
      </w:rPr>
    </w:lvl>
    <w:lvl w:ilvl="3">
      <w:start w:val="1"/>
      <w:numFmt w:val="bullet"/>
      <w:lvlText w:val="●"/>
      <w:lvlJc w:val="left"/>
      <w:pPr>
        <w:ind w:left="2880" w:hanging="360"/>
      </w:pPr>
      <w:rPr>
        <w:rFonts w:ascii="Quattrocento Sans" w:eastAsia="Quattrocento Sans" w:hAnsi="Quattrocento Sans" w:cs="Quattrocento Sans"/>
      </w:rPr>
    </w:lvl>
    <w:lvl w:ilvl="4">
      <w:start w:val="1"/>
      <w:numFmt w:val="bullet"/>
      <w:lvlText w:val="○"/>
      <w:lvlJc w:val="left"/>
      <w:pPr>
        <w:ind w:left="3600" w:hanging="360"/>
      </w:pPr>
      <w:rPr>
        <w:rFonts w:ascii="Quattrocento Sans" w:eastAsia="Quattrocento Sans" w:hAnsi="Quattrocento Sans" w:cs="Quattrocento Sans"/>
      </w:rPr>
    </w:lvl>
    <w:lvl w:ilvl="5">
      <w:start w:val="1"/>
      <w:numFmt w:val="bullet"/>
      <w:lvlText w:val="■"/>
      <w:lvlJc w:val="left"/>
      <w:pPr>
        <w:ind w:left="4320" w:hanging="360"/>
      </w:pPr>
      <w:rPr>
        <w:rFonts w:ascii="Quattrocento Sans" w:eastAsia="Quattrocento Sans" w:hAnsi="Quattrocento Sans" w:cs="Quattrocento Sans"/>
      </w:rPr>
    </w:lvl>
    <w:lvl w:ilvl="6">
      <w:start w:val="1"/>
      <w:numFmt w:val="bullet"/>
      <w:lvlText w:val="●"/>
      <w:lvlJc w:val="left"/>
      <w:pPr>
        <w:ind w:left="5040" w:hanging="360"/>
      </w:pPr>
      <w:rPr>
        <w:rFonts w:ascii="Quattrocento Sans" w:eastAsia="Quattrocento Sans" w:hAnsi="Quattrocento Sans" w:cs="Quattrocento Sans"/>
      </w:rPr>
    </w:lvl>
    <w:lvl w:ilvl="7">
      <w:start w:val="1"/>
      <w:numFmt w:val="bullet"/>
      <w:lvlText w:val="○"/>
      <w:lvlJc w:val="left"/>
      <w:pPr>
        <w:ind w:left="5760" w:hanging="360"/>
      </w:pPr>
      <w:rPr>
        <w:rFonts w:ascii="Quattrocento Sans" w:eastAsia="Quattrocento Sans" w:hAnsi="Quattrocento Sans" w:cs="Quattrocento Sans"/>
      </w:rPr>
    </w:lvl>
    <w:lvl w:ilvl="8">
      <w:start w:val="1"/>
      <w:numFmt w:val="bullet"/>
      <w:lvlText w:val="■"/>
      <w:lvlJc w:val="left"/>
      <w:pPr>
        <w:ind w:left="6480" w:hanging="360"/>
      </w:pPr>
      <w:rPr>
        <w:rFonts w:ascii="Quattrocento Sans" w:eastAsia="Quattrocento Sans" w:hAnsi="Quattrocento Sans" w:cs="Quattrocento Sans"/>
      </w:rPr>
    </w:lvl>
  </w:abstractNum>
  <w:abstractNum w:abstractNumId="27" w15:restartNumberingAfterBreak="0">
    <w:nsid w:val="4C726ED2"/>
    <w:multiLevelType w:val="hybridMultilevel"/>
    <w:tmpl w:val="2B9C8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B90513"/>
    <w:multiLevelType w:val="hybridMultilevel"/>
    <w:tmpl w:val="A8543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8A2F34"/>
    <w:multiLevelType w:val="hybridMultilevel"/>
    <w:tmpl w:val="296C6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5741F8"/>
    <w:multiLevelType w:val="multilevel"/>
    <w:tmpl w:val="19565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5E21832"/>
    <w:multiLevelType w:val="hybridMultilevel"/>
    <w:tmpl w:val="D2D84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927A94"/>
    <w:multiLevelType w:val="hybridMultilevel"/>
    <w:tmpl w:val="BA6EAE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18189C"/>
    <w:multiLevelType w:val="multilevel"/>
    <w:tmpl w:val="8FA4F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DF253B5"/>
    <w:multiLevelType w:val="multilevel"/>
    <w:tmpl w:val="2DA0A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31B3D32"/>
    <w:multiLevelType w:val="hybridMultilevel"/>
    <w:tmpl w:val="9ED6E902"/>
    <w:lvl w:ilvl="0" w:tplc="0409000F">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49878CC"/>
    <w:multiLevelType w:val="hybridMultilevel"/>
    <w:tmpl w:val="1332C04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6A760326"/>
    <w:multiLevelType w:val="multilevel"/>
    <w:tmpl w:val="F8822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F03C83"/>
    <w:multiLevelType w:val="hybridMultilevel"/>
    <w:tmpl w:val="42924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427897"/>
    <w:multiLevelType w:val="multilevel"/>
    <w:tmpl w:val="277AD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735A65"/>
    <w:multiLevelType w:val="multilevel"/>
    <w:tmpl w:val="41BE70C6"/>
    <w:lvl w:ilvl="0">
      <w:start w:val="1"/>
      <w:numFmt w:val="bullet"/>
      <w:lvlText w:val="⮚"/>
      <w:lvlJc w:val="left"/>
      <w:pPr>
        <w:ind w:left="720" w:hanging="360"/>
      </w:pPr>
      <w:rPr>
        <w:rFonts w:ascii="Quattrocento Sans" w:eastAsia="Quattrocento Sans" w:hAnsi="Quattrocento Sans" w:cs="Quattrocento Sans"/>
      </w:rPr>
    </w:lvl>
    <w:lvl w:ilvl="1">
      <w:start w:val="270"/>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Quattrocento Sans" w:eastAsia="Quattrocento Sans" w:hAnsi="Quattrocento Sans" w:cs="Quattrocento Sans"/>
      </w:rPr>
    </w:lvl>
    <w:lvl w:ilvl="3">
      <w:start w:val="1"/>
      <w:numFmt w:val="bullet"/>
      <w:lvlText w:val="⮚"/>
      <w:lvlJc w:val="left"/>
      <w:pPr>
        <w:ind w:left="2880" w:hanging="360"/>
      </w:pPr>
      <w:rPr>
        <w:rFonts w:ascii="Quattrocento Sans" w:eastAsia="Quattrocento Sans" w:hAnsi="Quattrocento Sans" w:cs="Quattrocento Sans"/>
      </w:rPr>
    </w:lvl>
    <w:lvl w:ilvl="4">
      <w:start w:val="1"/>
      <w:numFmt w:val="bullet"/>
      <w:lvlText w:val="⮚"/>
      <w:lvlJc w:val="left"/>
      <w:pPr>
        <w:ind w:left="3600" w:hanging="360"/>
      </w:pPr>
      <w:rPr>
        <w:rFonts w:ascii="Quattrocento Sans" w:eastAsia="Quattrocento Sans" w:hAnsi="Quattrocento Sans" w:cs="Quattrocento Sans"/>
      </w:rPr>
    </w:lvl>
    <w:lvl w:ilvl="5">
      <w:start w:val="1"/>
      <w:numFmt w:val="bullet"/>
      <w:lvlText w:val="⮚"/>
      <w:lvlJc w:val="left"/>
      <w:pPr>
        <w:ind w:left="4320" w:hanging="360"/>
      </w:pPr>
      <w:rPr>
        <w:rFonts w:ascii="Quattrocento Sans" w:eastAsia="Quattrocento Sans" w:hAnsi="Quattrocento Sans" w:cs="Quattrocento Sans"/>
      </w:rPr>
    </w:lvl>
    <w:lvl w:ilvl="6">
      <w:start w:val="1"/>
      <w:numFmt w:val="bullet"/>
      <w:lvlText w:val="⮚"/>
      <w:lvlJc w:val="left"/>
      <w:pPr>
        <w:ind w:left="5040" w:hanging="360"/>
      </w:pPr>
      <w:rPr>
        <w:rFonts w:ascii="Quattrocento Sans" w:eastAsia="Quattrocento Sans" w:hAnsi="Quattrocento Sans" w:cs="Quattrocento Sans"/>
      </w:rPr>
    </w:lvl>
    <w:lvl w:ilvl="7">
      <w:start w:val="1"/>
      <w:numFmt w:val="bullet"/>
      <w:lvlText w:val="⮚"/>
      <w:lvlJc w:val="left"/>
      <w:pPr>
        <w:ind w:left="5760" w:hanging="360"/>
      </w:pPr>
      <w:rPr>
        <w:rFonts w:ascii="Quattrocento Sans" w:eastAsia="Quattrocento Sans" w:hAnsi="Quattrocento Sans" w:cs="Quattrocento Sans"/>
      </w:rPr>
    </w:lvl>
    <w:lvl w:ilvl="8">
      <w:start w:val="1"/>
      <w:numFmt w:val="bullet"/>
      <w:lvlText w:val="⮚"/>
      <w:lvlJc w:val="left"/>
      <w:pPr>
        <w:ind w:left="6480" w:hanging="360"/>
      </w:pPr>
      <w:rPr>
        <w:rFonts w:ascii="Quattrocento Sans" w:eastAsia="Quattrocento Sans" w:hAnsi="Quattrocento Sans" w:cs="Quattrocento Sans"/>
      </w:rPr>
    </w:lvl>
  </w:abstractNum>
  <w:abstractNum w:abstractNumId="41" w15:restartNumberingAfterBreak="0">
    <w:nsid w:val="6FAA13AC"/>
    <w:multiLevelType w:val="multilevel"/>
    <w:tmpl w:val="AF7A69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0D26CB5"/>
    <w:multiLevelType w:val="multilevel"/>
    <w:tmpl w:val="302A3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A0E3410"/>
    <w:multiLevelType w:val="hybridMultilevel"/>
    <w:tmpl w:val="5374E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C641BE"/>
    <w:multiLevelType w:val="multilevel"/>
    <w:tmpl w:val="CDCCA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FB1E09"/>
    <w:multiLevelType w:val="hybridMultilevel"/>
    <w:tmpl w:val="EA64C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9"/>
  </w:num>
  <w:num w:numId="2">
    <w:abstractNumId w:val="44"/>
  </w:num>
  <w:num w:numId="3">
    <w:abstractNumId w:val="34"/>
  </w:num>
  <w:num w:numId="4">
    <w:abstractNumId w:val="40"/>
  </w:num>
  <w:num w:numId="5">
    <w:abstractNumId w:val="33"/>
  </w:num>
  <w:num w:numId="6">
    <w:abstractNumId w:val="21"/>
  </w:num>
  <w:num w:numId="7">
    <w:abstractNumId w:val="12"/>
  </w:num>
  <w:num w:numId="8">
    <w:abstractNumId w:val="4"/>
  </w:num>
  <w:num w:numId="9">
    <w:abstractNumId w:val="2"/>
  </w:num>
  <w:num w:numId="10">
    <w:abstractNumId w:val="6"/>
  </w:num>
  <w:num w:numId="11">
    <w:abstractNumId w:val="26"/>
  </w:num>
  <w:num w:numId="12">
    <w:abstractNumId w:val="16"/>
  </w:num>
  <w:num w:numId="13">
    <w:abstractNumId w:val="22"/>
  </w:num>
  <w:num w:numId="14">
    <w:abstractNumId w:val="41"/>
  </w:num>
  <w:num w:numId="15">
    <w:abstractNumId w:val="37"/>
  </w:num>
  <w:num w:numId="16">
    <w:abstractNumId w:val="15"/>
  </w:num>
  <w:num w:numId="17">
    <w:abstractNumId w:val="42"/>
  </w:num>
  <w:num w:numId="18">
    <w:abstractNumId w:val="19"/>
  </w:num>
  <w:num w:numId="19">
    <w:abstractNumId w:val="30"/>
  </w:num>
  <w:num w:numId="20">
    <w:abstractNumId w:val="1"/>
  </w:num>
  <w:num w:numId="21">
    <w:abstractNumId w:val="14"/>
  </w:num>
  <w:num w:numId="22">
    <w:abstractNumId w:val="23"/>
  </w:num>
  <w:num w:numId="23">
    <w:abstractNumId w:val="36"/>
  </w:num>
  <w:num w:numId="24">
    <w:abstractNumId w:val="45"/>
  </w:num>
  <w:num w:numId="25">
    <w:abstractNumId w:val="38"/>
  </w:num>
  <w:num w:numId="26">
    <w:abstractNumId w:val="25"/>
  </w:num>
  <w:num w:numId="27">
    <w:abstractNumId w:val="8"/>
  </w:num>
  <w:num w:numId="28">
    <w:abstractNumId w:val="11"/>
  </w:num>
  <w:num w:numId="29">
    <w:abstractNumId w:val="43"/>
  </w:num>
  <w:num w:numId="30">
    <w:abstractNumId w:val="13"/>
  </w:num>
  <w:num w:numId="31">
    <w:abstractNumId w:val="20"/>
  </w:num>
  <w:num w:numId="32">
    <w:abstractNumId w:val="28"/>
  </w:num>
  <w:num w:numId="33">
    <w:abstractNumId w:val="5"/>
  </w:num>
  <w:num w:numId="34">
    <w:abstractNumId w:val="7"/>
  </w:num>
  <w:num w:numId="35">
    <w:abstractNumId w:val="24"/>
  </w:num>
  <w:num w:numId="36">
    <w:abstractNumId w:val="10"/>
  </w:num>
  <w:num w:numId="37">
    <w:abstractNumId w:val="27"/>
  </w:num>
  <w:num w:numId="38">
    <w:abstractNumId w:val="29"/>
  </w:num>
  <w:num w:numId="39">
    <w:abstractNumId w:val="17"/>
  </w:num>
  <w:num w:numId="40">
    <w:abstractNumId w:val="9"/>
  </w:num>
  <w:num w:numId="41">
    <w:abstractNumId w:val="35"/>
  </w:num>
  <w:num w:numId="42">
    <w:abstractNumId w:val="18"/>
  </w:num>
  <w:num w:numId="43">
    <w:abstractNumId w:val="31"/>
  </w:num>
  <w:num w:numId="44">
    <w:abstractNumId w:val="0"/>
  </w:num>
  <w:num w:numId="45">
    <w:abstractNumId w:val="3"/>
  </w:num>
  <w:num w:numId="46">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C0"/>
    <w:rsid w:val="00000DA9"/>
    <w:rsid w:val="000014AE"/>
    <w:rsid w:val="00001FDA"/>
    <w:rsid w:val="00003163"/>
    <w:rsid w:val="000032BE"/>
    <w:rsid w:val="000067CB"/>
    <w:rsid w:val="00006977"/>
    <w:rsid w:val="000143C4"/>
    <w:rsid w:val="00015ABF"/>
    <w:rsid w:val="0002013D"/>
    <w:rsid w:val="00020496"/>
    <w:rsid w:val="00020E26"/>
    <w:rsid w:val="00025884"/>
    <w:rsid w:val="00025A1A"/>
    <w:rsid w:val="00026A0D"/>
    <w:rsid w:val="00032B86"/>
    <w:rsid w:val="000332C6"/>
    <w:rsid w:val="00034655"/>
    <w:rsid w:val="00034DFA"/>
    <w:rsid w:val="000350E6"/>
    <w:rsid w:val="00041824"/>
    <w:rsid w:val="000418CF"/>
    <w:rsid w:val="000429C3"/>
    <w:rsid w:val="00044194"/>
    <w:rsid w:val="00046CE4"/>
    <w:rsid w:val="00052E89"/>
    <w:rsid w:val="00053A09"/>
    <w:rsid w:val="00053E83"/>
    <w:rsid w:val="0005419D"/>
    <w:rsid w:val="000551D0"/>
    <w:rsid w:val="00062466"/>
    <w:rsid w:val="0006378E"/>
    <w:rsid w:val="0006417D"/>
    <w:rsid w:val="00064A86"/>
    <w:rsid w:val="00064E38"/>
    <w:rsid w:val="00065005"/>
    <w:rsid w:val="000670D6"/>
    <w:rsid w:val="0007036A"/>
    <w:rsid w:val="00071156"/>
    <w:rsid w:val="00072645"/>
    <w:rsid w:val="000728DF"/>
    <w:rsid w:val="00073E50"/>
    <w:rsid w:val="00074488"/>
    <w:rsid w:val="000804C7"/>
    <w:rsid w:val="000807B7"/>
    <w:rsid w:val="00086D14"/>
    <w:rsid w:val="00094763"/>
    <w:rsid w:val="0009591D"/>
    <w:rsid w:val="000A46EF"/>
    <w:rsid w:val="000A5FC0"/>
    <w:rsid w:val="000A6299"/>
    <w:rsid w:val="000A75E6"/>
    <w:rsid w:val="000B010A"/>
    <w:rsid w:val="000B1692"/>
    <w:rsid w:val="000B42A1"/>
    <w:rsid w:val="000B5104"/>
    <w:rsid w:val="000B53BD"/>
    <w:rsid w:val="000B71F3"/>
    <w:rsid w:val="000B7D09"/>
    <w:rsid w:val="000C1346"/>
    <w:rsid w:val="000C66FE"/>
    <w:rsid w:val="000D1635"/>
    <w:rsid w:val="000D7C90"/>
    <w:rsid w:val="000E2575"/>
    <w:rsid w:val="000F233A"/>
    <w:rsid w:val="000F4308"/>
    <w:rsid w:val="000F5939"/>
    <w:rsid w:val="000F7817"/>
    <w:rsid w:val="00101D1D"/>
    <w:rsid w:val="00102EAB"/>
    <w:rsid w:val="001039F4"/>
    <w:rsid w:val="001042E4"/>
    <w:rsid w:val="00107C52"/>
    <w:rsid w:val="00107CDE"/>
    <w:rsid w:val="00111356"/>
    <w:rsid w:val="00115F6B"/>
    <w:rsid w:val="001210B0"/>
    <w:rsid w:val="001230F8"/>
    <w:rsid w:val="00123F9E"/>
    <w:rsid w:val="0012484F"/>
    <w:rsid w:val="001317F0"/>
    <w:rsid w:val="00132498"/>
    <w:rsid w:val="001332BB"/>
    <w:rsid w:val="001336D5"/>
    <w:rsid w:val="001365F5"/>
    <w:rsid w:val="00137C4F"/>
    <w:rsid w:val="0014157D"/>
    <w:rsid w:val="00145E6C"/>
    <w:rsid w:val="00146C16"/>
    <w:rsid w:val="00150757"/>
    <w:rsid w:val="001519AA"/>
    <w:rsid w:val="00152322"/>
    <w:rsid w:val="00152DBA"/>
    <w:rsid w:val="00154EA3"/>
    <w:rsid w:val="00155ABB"/>
    <w:rsid w:val="00160029"/>
    <w:rsid w:val="00160DEE"/>
    <w:rsid w:val="0016484E"/>
    <w:rsid w:val="001651D4"/>
    <w:rsid w:val="00172DA9"/>
    <w:rsid w:val="001734D2"/>
    <w:rsid w:val="0018698D"/>
    <w:rsid w:val="00186A1E"/>
    <w:rsid w:val="001A5835"/>
    <w:rsid w:val="001B01CA"/>
    <w:rsid w:val="001B0620"/>
    <w:rsid w:val="001B0E3B"/>
    <w:rsid w:val="001B2575"/>
    <w:rsid w:val="001B45DA"/>
    <w:rsid w:val="001B6745"/>
    <w:rsid w:val="001B6C31"/>
    <w:rsid w:val="001B704D"/>
    <w:rsid w:val="001B76EA"/>
    <w:rsid w:val="001B7BC4"/>
    <w:rsid w:val="001C17E6"/>
    <w:rsid w:val="001C37C9"/>
    <w:rsid w:val="001C5619"/>
    <w:rsid w:val="001C69F0"/>
    <w:rsid w:val="001D091D"/>
    <w:rsid w:val="001D1D0D"/>
    <w:rsid w:val="001D227B"/>
    <w:rsid w:val="001D28B2"/>
    <w:rsid w:val="001D2E49"/>
    <w:rsid w:val="001D405A"/>
    <w:rsid w:val="001D6613"/>
    <w:rsid w:val="001E00B6"/>
    <w:rsid w:val="001E041B"/>
    <w:rsid w:val="001E29DC"/>
    <w:rsid w:val="001E4348"/>
    <w:rsid w:val="001E494F"/>
    <w:rsid w:val="001E4F77"/>
    <w:rsid w:val="001E673D"/>
    <w:rsid w:val="001E6988"/>
    <w:rsid w:val="001E6C70"/>
    <w:rsid w:val="001F490C"/>
    <w:rsid w:val="001F5B73"/>
    <w:rsid w:val="001F5D30"/>
    <w:rsid w:val="002006AF"/>
    <w:rsid w:val="0020321F"/>
    <w:rsid w:val="00203C8B"/>
    <w:rsid w:val="00204AB5"/>
    <w:rsid w:val="002052F6"/>
    <w:rsid w:val="00206580"/>
    <w:rsid w:val="00206D2C"/>
    <w:rsid w:val="0020704B"/>
    <w:rsid w:val="00207668"/>
    <w:rsid w:val="00207976"/>
    <w:rsid w:val="00210757"/>
    <w:rsid w:val="00217B21"/>
    <w:rsid w:val="0022263B"/>
    <w:rsid w:val="00222AEE"/>
    <w:rsid w:val="00224AB7"/>
    <w:rsid w:val="00225A29"/>
    <w:rsid w:val="00227DD0"/>
    <w:rsid w:val="002323E3"/>
    <w:rsid w:val="0023351D"/>
    <w:rsid w:val="002373AF"/>
    <w:rsid w:val="0024085F"/>
    <w:rsid w:val="0024409F"/>
    <w:rsid w:val="00251AE7"/>
    <w:rsid w:val="002522F5"/>
    <w:rsid w:val="00255BA7"/>
    <w:rsid w:val="00255CDF"/>
    <w:rsid w:val="00261AF4"/>
    <w:rsid w:val="00263347"/>
    <w:rsid w:val="00263F32"/>
    <w:rsid w:val="002645AA"/>
    <w:rsid w:val="002647BE"/>
    <w:rsid w:val="00265FC6"/>
    <w:rsid w:val="00266532"/>
    <w:rsid w:val="00271A0A"/>
    <w:rsid w:val="002721DC"/>
    <w:rsid w:val="002741B5"/>
    <w:rsid w:val="0027593C"/>
    <w:rsid w:val="002762B1"/>
    <w:rsid w:val="002766DE"/>
    <w:rsid w:val="00276D22"/>
    <w:rsid w:val="00276D7C"/>
    <w:rsid w:val="00276E0A"/>
    <w:rsid w:val="0028396C"/>
    <w:rsid w:val="00286D34"/>
    <w:rsid w:val="00290561"/>
    <w:rsid w:val="0029075E"/>
    <w:rsid w:val="00291956"/>
    <w:rsid w:val="00297362"/>
    <w:rsid w:val="002A2A36"/>
    <w:rsid w:val="002A2AB9"/>
    <w:rsid w:val="002A3588"/>
    <w:rsid w:val="002A3DAA"/>
    <w:rsid w:val="002A3E0C"/>
    <w:rsid w:val="002A6080"/>
    <w:rsid w:val="002B1419"/>
    <w:rsid w:val="002B199C"/>
    <w:rsid w:val="002B1B14"/>
    <w:rsid w:val="002B2B32"/>
    <w:rsid w:val="002B3C31"/>
    <w:rsid w:val="002B4EF9"/>
    <w:rsid w:val="002B54DA"/>
    <w:rsid w:val="002B5541"/>
    <w:rsid w:val="002B736B"/>
    <w:rsid w:val="002C1885"/>
    <w:rsid w:val="002C4CAC"/>
    <w:rsid w:val="002C76BF"/>
    <w:rsid w:val="002D2060"/>
    <w:rsid w:val="002D28E7"/>
    <w:rsid w:val="002D40B8"/>
    <w:rsid w:val="002D7434"/>
    <w:rsid w:val="002E1DE9"/>
    <w:rsid w:val="002E2E92"/>
    <w:rsid w:val="002F2927"/>
    <w:rsid w:val="002F4C8C"/>
    <w:rsid w:val="002F5D71"/>
    <w:rsid w:val="003029FE"/>
    <w:rsid w:val="00302DDE"/>
    <w:rsid w:val="00303596"/>
    <w:rsid w:val="00303C4A"/>
    <w:rsid w:val="0030673E"/>
    <w:rsid w:val="0031439C"/>
    <w:rsid w:val="00315738"/>
    <w:rsid w:val="003170F3"/>
    <w:rsid w:val="003176EE"/>
    <w:rsid w:val="00320FE1"/>
    <w:rsid w:val="003212AC"/>
    <w:rsid w:val="003265FE"/>
    <w:rsid w:val="003266D3"/>
    <w:rsid w:val="00326FB4"/>
    <w:rsid w:val="00330B8A"/>
    <w:rsid w:val="00331ED2"/>
    <w:rsid w:val="0033288A"/>
    <w:rsid w:val="003377BA"/>
    <w:rsid w:val="00340E20"/>
    <w:rsid w:val="00342373"/>
    <w:rsid w:val="00342C29"/>
    <w:rsid w:val="00350B39"/>
    <w:rsid w:val="00350FA3"/>
    <w:rsid w:val="00354410"/>
    <w:rsid w:val="00354CBD"/>
    <w:rsid w:val="00355A01"/>
    <w:rsid w:val="00356F7A"/>
    <w:rsid w:val="00357C4C"/>
    <w:rsid w:val="00360511"/>
    <w:rsid w:val="00362708"/>
    <w:rsid w:val="003652A3"/>
    <w:rsid w:val="003670A7"/>
    <w:rsid w:val="00370A25"/>
    <w:rsid w:val="00372EFB"/>
    <w:rsid w:val="003744EC"/>
    <w:rsid w:val="00377A1E"/>
    <w:rsid w:val="003800E0"/>
    <w:rsid w:val="00380DE8"/>
    <w:rsid w:val="00380E89"/>
    <w:rsid w:val="00380ECF"/>
    <w:rsid w:val="00381636"/>
    <w:rsid w:val="0038207E"/>
    <w:rsid w:val="003833A9"/>
    <w:rsid w:val="00383C0A"/>
    <w:rsid w:val="0038708F"/>
    <w:rsid w:val="00391BD5"/>
    <w:rsid w:val="00393CCF"/>
    <w:rsid w:val="00394C7E"/>
    <w:rsid w:val="003962C3"/>
    <w:rsid w:val="003963B9"/>
    <w:rsid w:val="00396CA6"/>
    <w:rsid w:val="003A0847"/>
    <w:rsid w:val="003A38F7"/>
    <w:rsid w:val="003A755E"/>
    <w:rsid w:val="003A7B94"/>
    <w:rsid w:val="003B0271"/>
    <w:rsid w:val="003B3000"/>
    <w:rsid w:val="003B36BD"/>
    <w:rsid w:val="003B7054"/>
    <w:rsid w:val="003C4554"/>
    <w:rsid w:val="003C61A9"/>
    <w:rsid w:val="003D7F83"/>
    <w:rsid w:val="003E0388"/>
    <w:rsid w:val="003E0E6E"/>
    <w:rsid w:val="003E21D4"/>
    <w:rsid w:val="003E25BE"/>
    <w:rsid w:val="003E26EC"/>
    <w:rsid w:val="003E3627"/>
    <w:rsid w:val="003E79DF"/>
    <w:rsid w:val="003F0E09"/>
    <w:rsid w:val="003F18DE"/>
    <w:rsid w:val="00404BC7"/>
    <w:rsid w:val="00406F51"/>
    <w:rsid w:val="00407B7B"/>
    <w:rsid w:val="00410334"/>
    <w:rsid w:val="00410516"/>
    <w:rsid w:val="00412BA3"/>
    <w:rsid w:val="00413D93"/>
    <w:rsid w:val="00414D6E"/>
    <w:rsid w:val="00416D02"/>
    <w:rsid w:val="004179D5"/>
    <w:rsid w:val="004206D9"/>
    <w:rsid w:val="00422018"/>
    <w:rsid w:val="004222FE"/>
    <w:rsid w:val="004237EA"/>
    <w:rsid w:val="004268C2"/>
    <w:rsid w:val="0042772F"/>
    <w:rsid w:val="00431E8F"/>
    <w:rsid w:val="00431FC6"/>
    <w:rsid w:val="00432DF7"/>
    <w:rsid w:val="00444EA7"/>
    <w:rsid w:val="004459E0"/>
    <w:rsid w:val="00445BAA"/>
    <w:rsid w:val="00446816"/>
    <w:rsid w:val="00451A0B"/>
    <w:rsid w:val="004534C9"/>
    <w:rsid w:val="00453762"/>
    <w:rsid w:val="0046244D"/>
    <w:rsid w:val="004710C4"/>
    <w:rsid w:val="00480F8E"/>
    <w:rsid w:val="00481ABF"/>
    <w:rsid w:val="00482DFA"/>
    <w:rsid w:val="004839D4"/>
    <w:rsid w:val="00483E0B"/>
    <w:rsid w:val="0048551C"/>
    <w:rsid w:val="004859AE"/>
    <w:rsid w:val="00486163"/>
    <w:rsid w:val="00486599"/>
    <w:rsid w:val="00487B2E"/>
    <w:rsid w:val="0049037A"/>
    <w:rsid w:val="0049205F"/>
    <w:rsid w:val="00493896"/>
    <w:rsid w:val="00494FF7"/>
    <w:rsid w:val="004A545C"/>
    <w:rsid w:val="004B09D2"/>
    <w:rsid w:val="004B2946"/>
    <w:rsid w:val="004B4D36"/>
    <w:rsid w:val="004B6C4C"/>
    <w:rsid w:val="004C3A6F"/>
    <w:rsid w:val="004C548D"/>
    <w:rsid w:val="004C7BA5"/>
    <w:rsid w:val="004D098A"/>
    <w:rsid w:val="004D15DD"/>
    <w:rsid w:val="004D213D"/>
    <w:rsid w:val="004D21B3"/>
    <w:rsid w:val="004D23D9"/>
    <w:rsid w:val="004D6847"/>
    <w:rsid w:val="004D7A64"/>
    <w:rsid w:val="004D7E09"/>
    <w:rsid w:val="004E0B15"/>
    <w:rsid w:val="004E27F6"/>
    <w:rsid w:val="004E345D"/>
    <w:rsid w:val="004E348F"/>
    <w:rsid w:val="004E3D8E"/>
    <w:rsid w:val="004E4B49"/>
    <w:rsid w:val="004E638D"/>
    <w:rsid w:val="004E65DA"/>
    <w:rsid w:val="004E6632"/>
    <w:rsid w:val="004E667C"/>
    <w:rsid w:val="004E6C6F"/>
    <w:rsid w:val="004E6D80"/>
    <w:rsid w:val="004F0CD8"/>
    <w:rsid w:val="005022A1"/>
    <w:rsid w:val="00505596"/>
    <w:rsid w:val="0050619F"/>
    <w:rsid w:val="005063F2"/>
    <w:rsid w:val="00507FE5"/>
    <w:rsid w:val="005116A2"/>
    <w:rsid w:val="005137BF"/>
    <w:rsid w:val="005142A2"/>
    <w:rsid w:val="00514A37"/>
    <w:rsid w:val="00514AE0"/>
    <w:rsid w:val="00514BB1"/>
    <w:rsid w:val="00514DDD"/>
    <w:rsid w:val="00515AAA"/>
    <w:rsid w:val="00517A54"/>
    <w:rsid w:val="00520941"/>
    <w:rsid w:val="00522EF1"/>
    <w:rsid w:val="00526058"/>
    <w:rsid w:val="005313D9"/>
    <w:rsid w:val="00532D88"/>
    <w:rsid w:val="00543AC4"/>
    <w:rsid w:val="0055388D"/>
    <w:rsid w:val="00553AAC"/>
    <w:rsid w:val="005542F8"/>
    <w:rsid w:val="00555147"/>
    <w:rsid w:val="00557789"/>
    <w:rsid w:val="00561275"/>
    <w:rsid w:val="00563521"/>
    <w:rsid w:val="00565D75"/>
    <w:rsid w:val="00565E4F"/>
    <w:rsid w:val="00567D4E"/>
    <w:rsid w:val="00575592"/>
    <w:rsid w:val="00581EAC"/>
    <w:rsid w:val="00582AE7"/>
    <w:rsid w:val="00584A8A"/>
    <w:rsid w:val="005870CE"/>
    <w:rsid w:val="00587223"/>
    <w:rsid w:val="005872E6"/>
    <w:rsid w:val="00587E47"/>
    <w:rsid w:val="0059472A"/>
    <w:rsid w:val="00595CFE"/>
    <w:rsid w:val="005A3859"/>
    <w:rsid w:val="005A5D03"/>
    <w:rsid w:val="005A6854"/>
    <w:rsid w:val="005A72D3"/>
    <w:rsid w:val="005B00AB"/>
    <w:rsid w:val="005B595D"/>
    <w:rsid w:val="005C2690"/>
    <w:rsid w:val="005C48C0"/>
    <w:rsid w:val="005C7B89"/>
    <w:rsid w:val="005D0CA6"/>
    <w:rsid w:val="005D173E"/>
    <w:rsid w:val="005D2002"/>
    <w:rsid w:val="005D28B6"/>
    <w:rsid w:val="005D4077"/>
    <w:rsid w:val="005D7E8F"/>
    <w:rsid w:val="005D7EF6"/>
    <w:rsid w:val="005E19F4"/>
    <w:rsid w:val="005E5EF8"/>
    <w:rsid w:val="005F0EC2"/>
    <w:rsid w:val="005F2F10"/>
    <w:rsid w:val="005F57E1"/>
    <w:rsid w:val="0060281A"/>
    <w:rsid w:val="006041B8"/>
    <w:rsid w:val="006061D1"/>
    <w:rsid w:val="00607E07"/>
    <w:rsid w:val="00612BA7"/>
    <w:rsid w:val="00612F5C"/>
    <w:rsid w:val="00615453"/>
    <w:rsid w:val="00617615"/>
    <w:rsid w:val="006205FF"/>
    <w:rsid w:val="00620CC1"/>
    <w:rsid w:val="0062320E"/>
    <w:rsid w:val="0062499D"/>
    <w:rsid w:val="00624C9D"/>
    <w:rsid w:val="0062644C"/>
    <w:rsid w:val="006277DC"/>
    <w:rsid w:val="00633B9B"/>
    <w:rsid w:val="00637EEA"/>
    <w:rsid w:val="0064021A"/>
    <w:rsid w:val="00641960"/>
    <w:rsid w:val="00641D14"/>
    <w:rsid w:val="006429AA"/>
    <w:rsid w:val="00643EB7"/>
    <w:rsid w:val="00643F48"/>
    <w:rsid w:val="006448F3"/>
    <w:rsid w:val="00645195"/>
    <w:rsid w:val="0064676F"/>
    <w:rsid w:val="00646ED2"/>
    <w:rsid w:val="00647E27"/>
    <w:rsid w:val="00651FCB"/>
    <w:rsid w:val="00652578"/>
    <w:rsid w:val="00654295"/>
    <w:rsid w:val="006558EA"/>
    <w:rsid w:val="00655EB9"/>
    <w:rsid w:val="006565FE"/>
    <w:rsid w:val="00657C8F"/>
    <w:rsid w:val="00660326"/>
    <w:rsid w:val="00660D8B"/>
    <w:rsid w:val="00662C40"/>
    <w:rsid w:val="00665388"/>
    <w:rsid w:val="0066589A"/>
    <w:rsid w:val="006710C8"/>
    <w:rsid w:val="00671F10"/>
    <w:rsid w:val="00674F6A"/>
    <w:rsid w:val="006841A1"/>
    <w:rsid w:val="006870AB"/>
    <w:rsid w:val="00691DF3"/>
    <w:rsid w:val="00691E72"/>
    <w:rsid w:val="0069375B"/>
    <w:rsid w:val="00695A12"/>
    <w:rsid w:val="00697FF8"/>
    <w:rsid w:val="006A3BBA"/>
    <w:rsid w:val="006A4B03"/>
    <w:rsid w:val="006A5DF7"/>
    <w:rsid w:val="006A6731"/>
    <w:rsid w:val="006B04A7"/>
    <w:rsid w:val="006B2302"/>
    <w:rsid w:val="006B27D0"/>
    <w:rsid w:val="006B3EBB"/>
    <w:rsid w:val="006B5D24"/>
    <w:rsid w:val="006B7402"/>
    <w:rsid w:val="006B7ACC"/>
    <w:rsid w:val="006C0E43"/>
    <w:rsid w:val="006C372A"/>
    <w:rsid w:val="006C37F3"/>
    <w:rsid w:val="006C4EBD"/>
    <w:rsid w:val="006C61C0"/>
    <w:rsid w:val="006C74F9"/>
    <w:rsid w:val="006C7EF6"/>
    <w:rsid w:val="006D0042"/>
    <w:rsid w:val="006D345D"/>
    <w:rsid w:val="006D5067"/>
    <w:rsid w:val="006E2254"/>
    <w:rsid w:val="006E2DCD"/>
    <w:rsid w:val="006E2ED7"/>
    <w:rsid w:val="006E6C0C"/>
    <w:rsid w:val="006E7A3E"/>
    <w:rsid w:val="006F1A26"/>
    <w:rsid w:val="006F25EE"/>
    <w:rsid w:val="006F2C17"/>
    <w:rsid w:val="006F6CCC"/>
    <w:rsid w:val="007017F7"/>
    <w:rsid w:val="0070241D"/>
    <w:rsid w:val="007041B9"/>
    <w:rsid w:val="007056C2"/>
    <w:rsid w:val="007058E9"/>
    <w:rsid w:val="00707E7D"/>
    <w:rsid w:val="007115AF"/>
    <w:rsid w:val="00714802"/>
    <w:rsid w:val="00714A19"/>
    <w:rsid w:val="0072327A"/>
    <w:rsid w:val="00724F03"/>
    <w:rsid w:val="00725896"/>
    <w:rsid w:val="007259C9"/>
    <w:rsid w:val="00725A18"/>
    <w:rsid w:val="00726C56"/>
    <w:rsid w:val="007272CA"/>
    <w:rsid w:val="007355CA"/>
    <w:rsid w:val="007369B8"/>
    <w:rsid w:val="00740F7E"/>
    <w:rsid w:val="00745009"/>
    <w:rsid w:val="0074751A"/>
    <w:rsid w:val="007573F4"/>
    <w:rsid w:val="00757471"/>
    <w:rsid w:val="00757D14"/>
    <w:rsid w:val="00760088"/>
    <w:rsid w:val="00760B2B"/>
    <w:rsid w:val="00763916"/>
    <w:rsid w:val="007645D0"/>
    <w:rsid w:val="007658AC"/>
    <w:rsid w:val="007678D1"/>
    <w:rsid w:val="00772951"/>
    <w:rsid w:val="00774ED4"/>
    <w:rsid w:val="0078021F"/>
    <w:rsid w:val="007825FC"/>
    <w:rsid w:val="007838F2"/>
    <w:rsid w:val="0078489A"/>
    <w:rsid w:val="00786665"/>
    <w:rsid w:val="00786FAF"/>
    <w:rsid w:val="00787D48"/>
    <w:rsid w:val="00793E4D"/>
    <w:rsid w:val="007943DC"/>
    <w:rsid w:val="00794D90"/>
    <w:rsid w:val="007950AB"/>
    <w:rsid w:val="00796C93"/>
    <w:rsid w:val="007A24F4"/>
    <w:rsid w:val="007A5ABB"/>
    <w:rsid w:val="007A6A09"/>
    <w:rsid w:val="007A6CE1"/>
    <w:rsid w:val="007B1C13"/>
    <w:rsid w:val="007B1F82"/>
    <w:rsid w:val="007B3DC0"/>
    <w:rsid w:val="007C17DE"/>
    <w:rsid w:val="007C263E"/>
    <w:rsid w:val="007C61BD"/>
    <w:rsid w:val="007C6F34"/>
    <w:rsid w:val="007C6F44"/>
    <w:rsid w:val="007D1235"/>
    <w:rsid w:val="007D4ED3"/>
    <w:rsid w:val="007D5EA0"/>
    <w:rsid w:val="007D722B"/>
    <w:rsid w:val="007E0A83"/>
    <w:rsid w:val="007E1080"/>
    <w:rsid w:val="007E13FC"/>
    <w:rsid w:val="007E1BDD"/>
    <w:rsid w:val="007E359F"/>
    <w:rsid w:val="007E36C2"/>
    <w:rsid w:val="007E500B"/>
    <w:rsid w:val="007F12C4"/>
    <w:rsid w:val="007F19B0"/>
    <w:rsid w:val="007F5F86"/>
    <w:rsid w:val="007F7F89"/>
    <w:rsid w:val="008002DA"/>
    <w:rsid w:val="00801185"/>
    <w:rsid w:val="008017D6"/>
    <w:rsid w:val="00801CF6"/>
    <w:rsid w:val="00806078"/>
    <w:rsid w:val="00812468"/>
    <w:rsid w:val="00814F14"/>
    <w:rsid w:val="00815AC6"/>
    <w:rsid w:val="00815DA7"/>
    <w:rsid w:val="0082151A"/>
    <w:rsid w:val="00821F8E"/>
    <w:rsid w:val="00824119"/>
    <w:rsid w:val="00824F0B"/>
    <w:rsid w:val="008252BA"/>
    <w:rsid w:val="00825BA8"/>
    <w:rsid w:val="008313AC"/>
    <w:rsid w:val="00832184"/>
    <w:rsid w:val="00832403"/>
    <w:rsid w:val="0083437A"/>
    <w:rsid w:val="00850918"/>
    <w:rsid w:val="00854353"/>
    <w:rsid w:val="008617D7"/>
    <w:rsid w:val="00862C0C"/>
    <w:rsid w:val="00862C20"/>
    <w:rsid w:val="008646E3"/>
    <w:rsid w:val="008648C7"/>
    <w:rsid w:val="008724AD"/>
    <w:rsid w:val="00872B8C"/>
    <w:rsid w:val="008745FC"/>
    <w:rsid w:val="00876C39"/>
    <w:rsid w:val="00877034"/>
    <w:rsid w:val="00877217"/>
    <w:rsid w:val="008803B7"/>
    <w:rsid w:val="00885426"/>
    <w:rsid w:val="00887DD9"/>
    <w:rsid w:val="0089071B"/>
    <w:rsid w:val="00894C90"/>
    <w:rsid w:val="0089792D"/>
    <w:rsid w:val="008A2722"/>
    <w:rsid w:val="008A408A"/>
    <w:rsid w:val="008A5A61"/>
    <w:rsid w:val="008B335F"/>
    <w:rsid w:val="008B3814"/>
    <w:rsid w:val="008C065A"/>
    <w:rsid w:val="008C1D16"/>
    <w:rsid w:val="008C4D81"/>
    <w:rsid w:val="008C54E6"/>
    <w:rsid w:val="008C5587"/>
    <w:rsid w:val="008C6895"/>
    <w:rsid w:val="008C6B6E"/>
    <w:rsid w:val="008C7E24"/>
    <w:rsid w:val="008D6128"/>
    <w:rsid w:val="008D7C88"/>
    <w:rsid w:val="008E04F1"/>
    <w:rsid w:val="008E3B6C"/>
    <w:rsid w:val="008E6769"/>
    <w:rsid w:val="008E68BC"/>
    <w:rsid w:val="008F2075"/>
    <w:rsid w:val="008F2766"/>
    <w:rsid w:val="008F74A2"/>
    <w:rsid w:val="009016F2"/>
    <w:rsid w:val="00905D8E"/>
    <w:rsid w:val="00911EBD"/>
    <w:rsid w:val="00917723"/>
    <w:rsid w:val="009217E8"/>
    <w:rsid w:val="00926F69"/>
    <w:rsid w:val="00930AF0"/>
    <w:rsid w:val="00932122"/>
    <w:rsid w:val="00932162"/>
    <w:rsid w:val="00932842"/>
    <w:rsid w:val="00933172"/>
    <w:rsid w:val="00940454"/>
    <w:rsid w:val="009407E8"/>
    <w:rsid w:val="00943120"/>
    <w:rsid w:val="00945DD1"/>
    <w:rsid w:val="00947147"/>
    <w:rsid w:val="00951564"/>
    <w:rsid w:val="00952820"/>
    <w:rsid w:val="00953A3F"/>
    <w:rsid w:val="009545E7"/>
    <w:rsid w:val="009558B4"/>
    <w:rsid w:val="00956441"/>
    <w:rsid w:val="00962CFA"/>
    <w:rsid w:val="009638A8"/>
    <w:rsid w:val="00963CAD"/>
    <w:rsid w:val="00965B8F"/>
    <w:rsid w:val="00967860"/>
    <w:rsid w:val="00971608"/>
    <w:rsid w:val="00971D0A"/>
    <w:rsid w:val="009734C4"/>
    <w:rsid w:val="009750AB"/>
    <w:rsid w:val="009765DB"/>
    <w:rsid w:val="0097784A"/>
    <w:rsid w:val="00977AFE"/>
    <w:rsid w:val="009807D8"/>
    <w:rsid w:val="00981940"/>
    <w:rsid w:val="009826D8"/>
    <w:rsid w:val="009838FD"/>
    <w:rsid w:val="00983905"/>
    <w:rsid w:val="00983C49"/>
    <w:rsid w:val="00984B1B"/>
    <w:rsid w:val="00993631"/>
    <w:rsid w:val="009A24F7"/>
    <w:rsid w:val="009A5A79"/>
    <w:rsid w:val="009B10A7"/>
    <w:rsid w:val="009B27C8"/>
    <w:rsid w:val="009B63E9"/>
    <w:rsid w:val="009C4821"/>
    <w:rsid w:val="009C4D6E"/>
    <w:rsid w:val="009C56B9"/>
    <w:rsid w:val="009C7D4B"/>
    <w:rsid w:val="009D211B"/>
    <w:rsid w:val="009D237C"/>
    <w:rsid w:val="009D26F2"/>
    <w:rsid w:val="009D4D4E"/>
    <w:rsid w:val="009D584A"/>
    <w:rsid w:val="009D5F96"/>
    <w:rsid w:val="009E1A97"/>
    <w:rsid w:val="009E5B65"/>
    <w:rsid w:val="009E5F66"/>
    <w:rsid w:val="009E68EA"/>
    <w:rsid w:val="009E6CCF"/>
    <w:rsid w:val="009E6E2F"/>
    <w:rsid w:val="009F1539"/>
    <w:rsid w:val="009F2268"/>
    <w:rsid w:val="009F57A3"/>
    <w:rsid w:val="009F5C43"/>
    <w:rsid w:val="009F5C6E"/>
    <w:rsid w:val="009F6F74"/>
    <w:rsid w:val="00A00DB9"/>
    <w:rsid w:val="00A015EC"/>
    <w:rsid w:val="00A03F67"/>
    <w:rsid w:val="00A04FED"/>
    <w:rsid w:val="00A111D8"/>
    <w:rsid w:val="00A1359B"/>
    <w:rsid w:val="00A1458E"/>
    <w:rsid w:val="00A1673D"/>
    <w:rsid w:val="00A26CAB"/>
    <w:rsid w:val="00A30720"/>
    <w:rsid w:val="00A404A6"/>
    <w:rsid w:val="00A46909"/>
    <w:rsid w:val="00A46E42"/>
    <w:rsid w:val="00A50333"/>
    <w:rsid w:val="00A52B0D"/>
    <w:rsid w:val="00A52D2A"/>
    <w:rsid w:val="00A535A1"/>
    <w:rsid w:val="00A54137"/>
    <w:rsid w:val="00A55227"/>
    <w:rsid w:val="00A554BC"/>
    <w:rsid w:val="00A56A36"/>
    <w:rsid w:val="00A57178"/>
    <w:rsid w:val="00A5771C"/>
    <w:rsid w:val="00A57857"/>
    <w:rsid w:val="00A57969"/>
    <w:rsid w:val="00A603B5"/>
    <w:rsid w:val="00A62234"/>
    <w:rsid w:val="00A62A77"/>
    <w:rsid w:val="00A6573B"/>
    <w:rsid w:val="00A65F7A"/>
    <w:rsid w:val="00A7019A"/>
    <w:rsid w:val="00A73921"/>
    <w:rsid w:val="00A74014"/>
    <w:rsid w:val="00A741C5"/>
    <w:rsid w:val="00A809A3"/>
    <w:rsid w:val="00A813CF"/>
    <w:rsid w:val="00A83D6C"/>
    <w:rsid w:val="00A90779"/>
    <w:rsid w:val="00A90D39"/>
    <w:rsid w:val="00A922F1"/>
    <w:rsid w:val="00A930AA"/>
    <w:rsid w:val="00A96223"/>
    <w:rsid w:val="00A9714A"/>
    <w:rsid w:val="00A97E87"/>
    <w:rsid w:val="00AA11B3"/>
    <w:rsid w:val="00AA228B"/>
    <w:rsid w:val="00AA2452"/>
    <w:rsid w:val="00AA5EFD"/>
    <w:rsid w:val="00AB12BC"/>
    <w:rsid w:val="00AB15D6"/>
    <w:rsid w:val="00AB23FB"/>
    <w:rsid w:val="00AB337A"/>
    <w:rsid w:val="00AB4764"/>
    <w:rsid w:val="00AB63CB"/>
    <w:rsid w:val="00AB66E1"/>
    <w:rsid w:val="00AC0ECB"/>
    <w:rsid w:val="00AC1512"/>
    <w:rsid w:val="00AC1917"/>
    <w:rsid w:val="00AC1984"/>
    <w:rsid w:val="00AC49FF"/>
    <w:rsid w:val="00AC5CFA"/>
    <w:rsid w:val="00AE21EC"/>
    <w:rsid w:val="00AE4898"/>
    <w:rsid w:val="00AE4F8F"/>
    <w:rsid w:val="00AE7127"/>
    <w:rsid w:val="00AF0738"/>
    <w:rsid w:val="00AF1008"/>
    <w:rsid w:val="00AF36BA"/>
    <w:rsid w:val="00AF7C15"/>
    <w:rsid w:val="00B011CE"/>
    <w:rsid w:val="00B02095"/>
    <w:rsid w:val="00B02465"/>
    <w:rsid w:val="00B029F1"/>
    <w:rsid w:val="00B0389D"/>
    <w:rsid w:val="00B11562"/>
    <w:rsid w:val="00B122C9"/>
    <w:rsid w:val="00B13E11"/>
    <w:rsid w:val="00B14BDE"/>
    <w:rsid w:val="00B1785F"/>
    <w:rsid w:val="00B2053F"/>
    <w:rsid w:val="00B2351F"/>
    <w:rsid w:val="00B25F82"/>
    <w:rsid w:val="00B2643F"/>
    <w:rsid w:val="00B31DAA"/>
    <w:rsid w:val="00B3542C"/>
    <w:rsid w:val="00B35A02"/>
    <w:rsid w:val="00B43626"/>
    <w:rsid w:val="00B43C06"/>
    <w:rsid w:val="00B45597"/>
    <w:rsid w:val="00B45ECE"/>
    <w:rsid w:val="00B517B9"/>
    <w:rsid w:val="00B53825"/>
    <w:rsid w:val="00B54E50"/>
    <w:rsid w:val="00B57DDE"/>
    <w:rsid w:val="00B61853"/>
    <w:rsid w:val="00B64D4D"/>
    <w:rsid w:val="00B66F1C"/>
    <w:rsid w:val="00B72F67"/>
    <w:rsid w:val="00B732AC"/>
    <w:rsid w:val="00B75121"/>
    <w:rsid w:val="00B767C1"/>
    <w:rsid w:val="00B8695C"/>
    <w:rsid w:val="00B9534C"/>
    <w:rsid w:val="00B954EA"/>
    <w:rsid w:val="00B97046"/>
    <w:rsid w:val="00BA1457"/>
    <w:rsid w:val="00BA1AF7"/>
    <w:rsid w:val="00BA36E7"/>
    <w:rsid w:val="00BA6F0D"/>
    <w:rsid w:val="00BB60AB"/>
    <w:rsid w:val="00BC071C"/>
    <w:rsid w:val="00BC3D2B"/>
    <w:rsid w:val="00BC41B6"/>
    <w:rsid w:val="00BC49D1"/>
    <w:rsid w:val="00BC6AF0"/>
    <w:rsid w:val="00BD1539"/>
    <w:rsid w:val="00BD1C20"/>
    <w:rsid w:val="00BD20A1"/>
    <w:rsid w:val="00BD2B04"/>
    <w:rsid w:val="00BD4C0B"/>
    <w:rsid w:val="00BD5D65"/>
    <w:rsid w:val="00BD7148"/>
    <w:rsid w:val="00BD77F6"/>
    <w:rsid w:val="00BE03D5"/>
    <w:rsid w:val="00BE0CE7"/>
    <w:rsid w:val="00BE6170"/>
    <w:rsid w:val="00BE7A0C"/>
    <w:rsid w:val="00BF16B9"/>
    <w:rsid w:val="00BF306B"/>
    <w:rsid w:val="00BF3B02"/>
    <w:rsid w:val="00BF411A"/>
    <w:rsid w:val="00BF6223"/>
    <w:rsid w:val="00BF79B4"/>
    <w:rsid w:val="00C04787"/>
    <w:rsid w:val="00C04B0D"/>
    <w:rsid w:val="00C05861"/>
    <w:rsid w:val="00C11FB6"/>
    <w:rsid w:val="00C13083"/>
    <w:rsid w:val="00C21298"/>
    <w:rsid w:val="00C22470"/>
    <w:rsid w:val="00C235AA"/>
    <w:rsid w:val="00C23C0B"/>
    <w:rsid w:val="00C2793D"/>
    <w:rsid w:val="00C33707"/>
    <w:rsid w:val="00C342C2"/>
    <w:rsid w:val="00C34EE5"/>
    <w:rsid w:val="00C35930"/>
    <w:rsid w:val="00C35F9B"/>
    <w:rsid w:val="00C3630D"/>
    <w:rsid w:val="00C43953"/>
    <w:rsid w:val="00C439C0"/>
    <w:rsid w:val="00C46AD7"/>
    <w:rsid w:val="00C46FFA"/>
    <w:rsid w:val="00C51A48"/>
    <w:rsid w:val="00C57567"/>
    <w:rsid w:val="00C60586"/>
    <w:rsid w:val="00C60747"/>
    <w:rsid w:val="00C65EEB"/>
    <w:rsid w:val="00C6697B"/>
    <w:rsid w:val="00C720DD"/>
    <w:rsid w:val="00C7300D"/>
    <w:rsid w:val="00C739D1"/>
    <w:rsid w:val="00C74E11"/>
    <w:rsid w:val="00C80536"/>
    <w:rsid w:val="00C833D8"/>
    <w:rsid w:val="00C8441A"/>
    <w:rsid w:val="00C85D1F"/>
    <w:rsid w:val="00C8734E"/>
    <w:rsid w:val="00C900B5"/>
    <w:rsid w:val="00C949A7"/>
    <w:rsid w:val="00CA1641"/>
    <w:rsid w:val="00CA2D12"/>
    <w:rsid w:val="00CA4833"/>
    <w:rsid w:val="00CA694B"/>
    <w:rsid w:val="00CB0071"/>
    <w:rsid w:val="00CB0CC1"/>
    <w:rsid w:val="00CB35B2"/>
    <w:rsid w:val="00CB5A68"/>
    <w:rsid w:val="00CB5F42"/>
    <w:rsid w:val="00CC0026"/>
    <w:rsid w:val="00CC2740"/>
    <w:rsid w:val="00CC2E72"/>
    <w:rsid w:val="00CC38E3"/>
    <w:rsid w:val="00CC4F29"/>
    <w:rsid w:val="00CC6111"/>
    <w:rsid w:val="00CD6036"/>
    <w:rsid w:val="00CE08CB"/>
    <w:rsid w:val="00CE1093"/>
    <w:rsid w:val="00CE1BF6"/>
    <w:rsid w:val="00CE1F63"/>
    <w:rsid w:val="00CE575B"/>
    <w:rsid w:val="00CE7372"/>
    <w:rsid w:val="00CF3C24"/>
    <w:rsid w:val="00CF627D"/>
    <w:rsid w:val="00D00590"/>
    <w:rsid w:val="00D014AE"/>
    <w:rsid w:val="00D021B3"/>
    <w:rsid w:val="00D028B1"/>
    <w:rsid w:val="00D07045"/>
    <w:rsid w:val="00D10654"/>
    <w:rsid w:val="00D12C54"/>
    <w:rsid w:val="00D24D26"/>
    <w:rsid w:val="00D25B3C"/>
    <w:rsid w:val="00D2692D"/>
    <w:rsid w:val="00D26EAD"/>
    <w:rsid w:val="00D31FEF"/>
    <w:rsid w:val="00D331DF"/>
    <w:rsid w:val="00D34080"/>
    <w:rsid w:val="00D34142"/>
    <w:rsid w:val="00D40E86"/>
    <w:rsid w:val="00D416BC"/>
    <w:rsid w:val="00D42B2A"/>
    <w:rsid w:val="00D43AB7"/>
    <w:rsid w:val="00D44194"/>
    <w:rsid w:val="00D44D33"/>
    <w:rsid w:val="00D46389"/>
    <w:rsid w:val="00D473F6"/>
    <w:rsid w:val="00D501D5"/>
    <w:rsid w:val="00D502B1"/>
    <w:rsid w:val="00D56EE2"/>
    <w:rsid w:val="00D57807"/>
    <w:rsid w:val="00D60674"/>
    <w:rsid w:val="00D62C8C"/>
    <w:rsid w:val="00D66FA6"/>
    <w:rsid w:val="00D72C49"/>
    <w:rsid w:val="00D73E1B"/>
    <w:rsid w:val="00D81F97"/>
    <w:rsid w:val="00D833BB"/>
    <w:rsid w:val="00D834F5"/>
    <w:rsid w:val="00D85BB1"/>
    <w:rsid w:val="00D9058E"/>
    <w:rsid w:val="00D920C7"/>
    <w:rsid w:val="00D92E79"/>
    <w:rsid w:val="00D93283"/>
    <w:rsid w:val="00D943A6"/>
    <w:rsid w:val="00DA0031"/>
    <w:rsid w:val="00DA13C0"/>
    <w:rsid w:val="00DA2803"/>
    <w:rsid w:val="00DA289F"/>
    <w:rsid w:val="00DA5F61"/>
    <w:rsid w:val="00DA6856"/>
    <w:rsid w:val="00DA6958"/>
    <w:rsid w:val="00DA7C4E"/>
    <w:rsid w:val="00DB0C37"/>
    <w:rsid w:val="00DB10C0"/>
    <w:rsid w:val="00DB1EB4"/>
    <w:rsid w:val="00DB278D"/>
    <w:rsid w:val="00DB5251"/>
    <w:rsid w:val="00DB5641"/>
    <w:rsid w:val="00DB6AF5"/>
    <w:rsid w:val="00DB7988"/>
    <w:rsid w:val="00DC2C98"/>
    <w:rsid w:val="00DC3CB9"/>
    <w:rsid w:val="00DC4739"/>
    <w:rsid w:val="00DD0B5D"/>
    <w:rsid w:val="00DD2795"/>
    <w:rsid w:val="00DE1938"/>
    <w:rsid w:val="00DE3F67"/>
    <w:rsid w:val="00DE41B4"/>
    <w:rsid w:val="00DE5E52"/>
    <w:rsid w:val="00DF46BA"/>
    <w:rsid w:val="00E01148"/>
    <w:rsid w:val="00E02C00"/>
    <w:rsid w:val="00E0387A"/>
    <w:rsid w:val="00E0416C"/>
    <w:rsid w:val="00E04D54"/>
    <w:rsid w:val="00E062B1"/>
    <w:rsid w:val="00E13372"/>
    <w:rsid w:val="00E14C83"/>
    <w:rsid w:val="00E14EC7"/>
    <w:rsid w:val="00E2117D"/>
    <w:rsid w:val="00E23BB7"/>
    <w:rsid w:val="00E252D9"/>
    <w:rsid w:val="00E25998"/>
    <w:rsid w:val="00E264B6"/>
    <w:rsid w:val="00E30611"/>
    <w:rsid w:val="00E33543"/>
    <w:rsid w:val="00E34BAC"/>
    <w:rsid w:val="00E3565E"/>
    <w:rsid w:val="00E37F60"/>
    <w:rsid w:val="00E37F9D"/>
    <w:rsid w:val="00E4197D"/>
    <w:rsid w:val="00E44A6A"/>
    <w:rsid w:val="00E539F7"/>
    <w:rsid w:val="00E55C89"/>
    <w:rsid w:val="00E568B8"/>
    <w:rsid w:val="00E56A73"/>
    <w:rsid w:val="00E6109C"/>
    <w:rsid w:val="00E612B5"/>
    <w:rsid w:val="00E61679"/>
    <w:rsid w:val="00E620CB"/>
    <w:rsid w:val="00E62326"/>
    <w:rsid w:val="00E67818"/>
    <w:rsid w:val="00E7043F"/>
    <w:rsid w:val="00E746CD"/>
    <w:rsid w:val="00E74C48"/>
    <w:rsid w:val="00E75F99"/>
    <w:rsid w:val="00E77373"/>
    <w:rsid w:val="00E80ADF"/>
    <w:rsid w:val="00E90571"/>
    <w:rsid w:val="00E908DD"/>
    <w:rsid w:val="00E91C76"/>
    <w:rsid w:val="00E94C4D"/>
    <w:rsid w:val="00EA0D33"/>
    <w:rsid w:val="00EA1B7A"/>
    <w:rsid w:val="00EA3874"/>
    <w:rsid w:val="00EA615A"/>
    <w:rsid w:val="00EA68AF"/>
    <w:rsid w:val="00EB11B5"/>
    <w:rsid w:val="00EB17DC"/>
    <w:rsid w:val="00EB313C"/>
    <w:rsid w:val="00EB5738"/>
    <w:rsid w:val="00EC2378"/>
    <w:rsid w:val="00EC3F57"/>
    <w:rsid w:val="00EC513E"/>
    <w:rsid w:val="00EC69DA"/>
    <w:rsid w:val="00EC742C"/>
    <w:rsid w:val="00ED12AA"/>
    <w:rsid w:val="00ED16CC"/>
    <w:rsid w:val="00ED1D8A"/>
    <w:rsid w:val="00ED5D23"/>
    <w:rsid w:val="00ED69B9"/>
    <w:rsid w:val="00EE05E3"/>
    <w:rsid w:val="00EE171E"/>
    <w:rsid w:val="00EF3C81"/>
    <w:rsid w:val="00EF74A3"/>
    <w:rsid w:val="00F01886"/>
    <w:rsid w:val="00F01DCC"/>
    <w:rsid w:val="00F04178"/>
    <w:rsid w:val="00F04D59"/>
    <w:rsid w:val="00F06365"/>
    <w:rsid w:val="00F06964"/>
    <w:rsid w:val="00F07874"/>
    <w:rsid w:val="00F10682"/>
    <w:rsid w:val="00F14903"/>
    <w:rsid w:val="00F207BF"/>
    <w:rsid w:val="00F20EBC"/>
    <w:rsid w:val="00F211FB"/>
    <w:rsid w:val="00F229C6"/>
    <w:rsid w:val="00F22D4C"/>
    <w:rsid w:val="00F231D1"/>
    <w:rsid w:val="00F241A9"/>
    <w:rsid w:val="00F2695B"/>
    <w:rsid w:val="00F2737F"/>
    <w:rsid w:val="00F274E6"/>
    <w:rsid w:val="00F3057F"/>
    <w:rsid w:val="00F311D2"/>
    <w:rsid w:val="00F31876"/>
    <w:rsid w:val="00F31A41"/>
    <w:rsid w:val="00F3745C"/>
    <w:rsid w:val="00F40B96"/>
    <w:rsid w:val="00F43B18"/>
    <w:rsid w:val="00F44B4F"/>
    <w:rsid w:val="00F4533D"/>
    <w:rsid w:val="00F45DF4"/>
    <w:rsid w:val="00F50890"/>
    <w:rsid w:val="00F53CE0"/>
    <w:rsid w:val="00F5739C"/>
    <w:rsid w:val="00F573FB"/>
    <w:rsid w:val="00F61D12"/>
    <w:rsid w:val="00F61F13"/>
    <w:rsid w:val="00F623EF"/>
    <w:rsid w:val="00F655FA"/>
    <w:rsid w:val="00F65C40"/>
    <w:rsid w:val="00F671FC"/>
    <w:rsid w:val="00F67B41"/>
    <w:rsid w:val="00F702D1"/>
    <w:rsid w:val="00F71DD2"/>
    <w:rsid w:val="00F74360"/>
    <w:rsid w:val="00F75B54"/>
    <w:rsid w:val="00F75F33"/>
    <w:rsid w:val="00F8064F"/>
    <w:rsid w:val="00F830F1"/>
    <w:rsid w:val="00F83F24"/>
    <w:rsid w:val="00F86927"/>
    <w:rsid w:val="00F9166A"/>
    <w:rsid w:val="00F92615"/>
    <w:rsid w:val="00F930BB"/>
    <w:rsid w:val="00F94400"/>
    <w:rsid w:val="00F965CB"/>
    <w:rsid w:val="00F971EF"/>
    <w:rsid w:val="00FA09B1"/>
    <w:rsid w:val="00FA1507"/>
    <w:rsid w:val="00FA3494"/>
    <w:rsid w:val="00FA3D0B"/>
    <w:rsid w:val="00FA3D11"/>
    <w:rsid w:val="00FA3F2E"/>
    <w:rsid w:val="00FA7113"/>
    <w:rsid w:val="00FA751B"/>
    <w:rsid w:val="00FB21C8"/>
    <w:rsid w:val="00FB3A1A"/>
    <w:rsid w:val="00FB4560"/>
    <w:rsid w:val="00FB5073"/>
    <w:rsid w:val="00FC16D3"/>
    <w:rsid w:val="00FC1D58"/>
    <w:rsid w:val="00FC2B3F"/>
    <w:rsid w:val="00FC684A"/>
    <w:rsid w:val="00FC79CF"/>
    <w:rsid w:val="00FD06B6"/>
    <w:rsid w:val="00FD3227"/>
    <w:rsid w:val="00FD4C30"/>
    <w:rsid w:val="00FD67F7"/>
    <w:rsid w:val="00FE0D86"/>
    <w:rsid w:val="00FE14EF"/>
    <w:rsid w:val="00FE1D0E"/>
    <w:rsid w:val="00FE4BB9"/>
    <w:rsid w:val="00FE5611"/>
    <w:rsid w:val="00FE5BC4"/>
    <w:rsid w:val="00FE79E6"/>
    <w:rsid w:val="00FF0C96"/>
    <w:rsid w:val="00FF2A6D"/>
    <w:rsid w:val="00FF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8825"/>
  <w15:docId w15:val="{BB40F476-9B65-42DC-B3EC-E2C7B06E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160" w:line="252" w:lineRule="auto"/>
        <w:ind w:left="720" w:hanging="3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keepNext/>
      <w:keepLines/>
      <w:spacing w:after="100"/>
      <w:outlineLvl w:val="0"/>
    </w:pPr>
    <w:rPr>
      <w:rFonts w:ascii="Times New Roman" w:eastAsia="Times New Roman" w:hAnsi="Times New Roman" w:cs="Times New Roman"/>
      <w:b/>
    </w:rPr>
  </w:style>
  <w:style w:type="paragraph" w:styleId="Heading2">
    <w:name w:val="heading 2"/>
    <w:basedOn w:val="Normal"/>
    <w:next w:val="Normal"/>
    <w:link w:val="Heading2Char"/>
    <w:qFormat/>
    <w:pPr>
      <w:keepNext/>
      <w:keepLines/>
      <w:spacing w:line="240" w:lineRule="auto"/>
      <w:outlineLvl w:val="1"/>
    </w:pPr>
    <w:rPr>
      <w:rFonts w:ascii="Times New Roman" w:eastAsia="Times New Roman" w:hAnsi="Times New Roman" w:cs="Times New Roman"/>
      <w:u w:val="single"/>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line="240" w:lineRule="auto"/>
    </w:pPr>
    <w:rPr>
      <w:rFonts w:ascii="Times New Roman" w:eastAsia="Times New Roman" w:hAnsi="Times New Roman" w:cs="Times New Roman"/>
      <w:u w:val="single"/>
    </w:rPr>
  </w:style>
  <w:style w:type="paragraph" w:styleId="BalloonText">
    <w:name w:val="Balloon Text"/>
    <w:basedOn w:val="Normal"/>
    <w:link w:val="BalloonTextChar"/>
    <w:uiPriority w:val="99"/>
    <w:semiHidden/>
    <w:unhideWhenUsed/>
    <w:rsid w:val="00123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F8"/>
    <w:rPr>
      <w:rFonts w:ascii="Segoe UI" w:hAnsi="Segoe UI" w:cs="Segoe UI"/>
      <w:sz w:val="18"/>
      <w:szCs w:val="18"/>
    </w:rPr>
  </w:style>
  <w:style w:type="character" w:styleId="CommentReference">
    <w:name w:val="annotation reference"/>
    <w:basedOn w:val="DefaultParagraphFont"/>
    <w:uiPriority w:val="99"/>
    <w:semiHidden/>
    <w:unhideWhenUsed/>
    <w:rsid w:val="0064021A"/>
    <w:rPr>
      <w:sz w:val="16"/>
      <w:szCs w:val="16"/>
    </w:rPr>
  </w:style>
  <w:style w:type="paragraph" w:styleId="CommentText">
    <w:name w:val="annotation text"/>
    <w:basedOn w:val="Normal"/>
    <w:link w:val="CommentTextChar"/>
    <w:uiPriority w:val="99"/>
    <w:unhideWhenUsed/>
    <w:rsid w:val="0064021A"/>
    <w:pPr>
      <w:spacing w:line="240" w:lineRule="auto"/>
    </w:pPr>
    <w:rPr>
      <w:sz w:val="20"/>
      <w:szCs w:val="20"/>
    </w:rPr>
  </w:style>
  <w:style w:type="character" w:customStyle="1" w:styleId="CommentTextChar">
    <w:name w:val="Comment Text Char"/>
    <w:basedOn w:val="DefaultParagraphFont"/>
    <w:link w:val="CommentText"/>
    <w:uiPriority w:val="99"/>
    <w:rsid w:val="0064021A"/>
    <w:rPr>
      <w:sz w:val="20"/>
      <w:szCs w:val="20"/>
    </w:rPr>
  </w:style>
  <w:style w:type="paragraph" w:styleId="CommentSubject">
    <w:name w:val="annotation subject"/>
    <w:basedOn w:val="CommentText"/>
    <w:next w:val="CommentText"/>
    <w:link w:val="CommentSubjectChar"/>
    <w:uiPriority w:val="99"/>
    <w:semiHidden/>
    <w:unhideWhenUsed/>
    <w:rsid w:val="0064021A"/>
    <w:rPr>
      <w:b/>
      <w:bCs/>
    </w:rPr>
  </w:style>
  <w:style w:type="character" w:customStyle="1" w:styleId="CommentSubjectChar">
    <w:name w:val="Comment Subject Char"/>
    <w:basedOn w:val="CommentTextChar"/>
    <w:link w:val="CommentSubject"/>
    <w:uiPriority w:val="99"/>
    <w:semiHidden/>
    <w:rsid w:val="0064021A"/>
    <w:rPr>
      <w:b/>
      <w:bCs/>
      <w:sz w:val="20"/>
      <w:szCs w:val="20"/>
    </w:rPr>
  </w:style>
  <w:style w:type="paragraph" w:styleId="Revision">
    <w:name w:val="Revision"/>
    <w:hidden/>
    <w:uiPriority w:val="99"/>
    <w:semiHidden/>
    <w:rsid w:val="004534C9"/>
    <w:pPr>
      <w:spacing w:after="0" w:line="240" w:lineRule="auto"/>
      <w:ind w:left="0" w:firstLine="0"/>
      <w:jc w:val="left"/>
    </w:pPr>
  </w:style>
  <w:style w:type="paragraph" w:styleId="ListParagraph">
    <w:name w:val="List Paragraph"/>
    <w:basedOn w:val="Normal"/>
    <w:uiPriority w:val="34"/>
    <w:qFormat/>
    <w:rsid w:val="00FA751B"/>
    <w:pPr>
      <w:contextualSpacing/>
    </w:pPr>
  </w:style>
  <w:style w:type="table" w:styleId="TableGrid">
    <w:name w:val="Table Grid"/>
    <w:basedOn w:val="TableNormal"/>
    <w:uiPriority w:val="39"/>
    <w:rsid w:val="006D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7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9D5"/>
  </w:style>
  <w:style w:type="paragraph" w:styleId="Footer">
    <w:name w:val="footer"/>
    <w:basedOn w:val="Normal"/>
    <w:link w:val="FooterChar"/>
    <w:uiPriority w:val="99"/>
    <w:unhideWhenUsed/>
    <w:rsid w:val="00417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9D5"/>
  </w:style>
  <w:style w:type="paragraph" w:styleId="FootnoteText">
    <w:name w:val="footnote text"/>
    <w:basedOn w:val="Normal"/>
    <w:link w:val="FootnoteTextChar"/>
    <w:uiPriority w:val="99"/>
    <w:semiHidden/>
    <w:unhideWhenUsed/>
    <w:rsid w:val="005061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19F"/>
    <w:rPr>
      <w:sz w:val="20"/>
      <w:szCs w:val="20"/>
    </w:rPr>
  </w:style>
  <w:style w:type="character" w:styleId="FootnoteReference">
    <w:name w:val="footnote reference"/>
    <w:basedOn w:val="DefaultParagraphFont"/>
    <w:uiPriority w:val="99"/>
    <w:semiHidden/>
    <w:unhideWhenUsed/>
    <w:rsid w:val="0050619F"/>
    <w:rPr>
      <w:vertAlign w:val="superscript"/>
    </w:rPr>
  </w:style>
  <w:style w:type="paragraph" w:styleId="NoSpacing">
    <w:name w:val="No Spacing"/>
    <w:uiPriority w:val="1"/>
    <w:qFormat/>
    <w:rsid w:val="00A741C5"/>
    <w:pPr>
      <w:spacing w:after="0" w:line="240" w:lineRule="auto"/>
    </w:pPr>
  </w:style>
  <w:style w:type="character" w:customStyle="1" w:styleId="Heading1Char">
    <w:name w:val="Heading 1 Char"/>
    <w:basedOn w:val="DefaultParagraphFont"/>
    <w:link w:val="Heading1"/>
    <w:rsid w:val="00FA1507"/>
    <w:rPr>
      <w:rFonts w:ascii="Times New Roman" w:eastAsia="Times New Roman" w:hAnsi="Times New Roman" w:cs="Times New Roman"/>
      <w:b/>
    </w:rPr>
  </w:style>
  <w:style w:type="character" w:customStyle="1" w:styleId="Heading2Char">
    <w:name w:val="Heading 2 Char"/>
    <w:basedOn w:val="DefaultParagraphFont"/>
    <w:link w:val="Heading2"/>
    <w:rsid w:val="00FA1507"/>
    <w:rPr>
      <w:rFonts w:ascii="Times New Roman" w:eastAsia="Times New Roman" w:hAnsi="Times New Roman" w:cs="Times New Roman"/>
      <w:u w:val="single"/>
    </w:rPr>
  </w:style>
  <w:style w:type="character" w:styleId="Hyperlink">
    <w:name w:val="Hyperlink"/>
    <w:basedOn w:val="DefaultParagraphFont"/>
    <w:uiPriority w:val="99"/>
    <w:unhideWhenUsed/>
    <w:rsid w:val="0078021F"/>
    <w:rPr>
      <w:color w:val="0000FF" w:themeColor="hyperlink"/>
      <w:u w:val="single"/>
    </w:rPr>
  </w:style>
  <w:style w:type="paragraph" w:styleId="NormalWeb">
    <w:name w:val="Normal (Web)"/>
    <w:basedOn w:val="Normal"/>
    <w:uiPriority w:val="99"/>
    <w:semiHidden/>
    <w:unhideWhenUsed/>
    <w:rsid w:val="00AE4898"/>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F0CD8"/>
    <w:pPr>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F0CD8"/>
    <w:pPr>
      <w:spacing w:after="100"/>
      <w:ind w:left="0"/>
    </w:pPr>
  </w:style>
  <w:style w:type="paragraph" w:styleId="TOC2">
    <w:name w:val="toc 2"/>
    <w:basedOn w:val="Normal"/>
    <w:next w:val="Normal"/>
    <w:autoRedefine/>
    <w:uiPriority w:val="39"/>
    <w:unhideWhenUsed/>
    <w:rsid w:val="004F0CD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7867">
      <w:bodyDiv w:val="1"/>
      <w:marLeft w:val="0"/>
      <w:marRight w:val="0"/>
      <w:marTop w:val="0"/>
      <w:marBottom w:val="0"/>
      <w:divBdr>
        <w:top w:val="none" w:sz="0" w:space="0" w:color="auto"/>
        <w:left w:val="none" w:sz="0" w:space="0" w:color="auto"/>
        <w:bottom w:val="none" w:sz="0" w:space="0" w:color="auto"/>
        <w:right w:val="none" w:sz="0" w:space="0" w:color="auto"/>
      </w:divBdr>
    </w:div>
    <w:div w:id="145321641">
      <w:bodyDiv w:val="1"/>
      <w:marLeft w:val="0"/>
      <w:marRight w:val="0"/>
      <w:marTop w:val="0"/>
      <w:marBottom w:val="0"/>
      <w:divBdr>
        <w:top w:val="none" w:sz="0" w:space="0" w:color="auto"/>
        <w:left w:val="none" w:sz="0" w:space="0" w:color="auto"/>
        <w:bottom w:val="none" w:sz="0" w:space="0" w:color="auto"/>
        <w:right w:val="none" w:sz="0" w:space="0" w:color="auto"/>
      </w:divBdr>
    </w:div>
    <w:div w:id="243026758">
      <w:bodyDiv w:val="1"/>
      <w:marLeft w:val="0"/>
      <w:marRight w:val="0"/>
      <w:marTop w:val="0"/>
      <w:marBottom w:val="0"/>
      <w:divBdr>
        <w:top w:val="none" w:sz="0" w:space="0" w:color="auto"/>
        <w:left w:val="none" w:sz="0" w:space="0" w:color="auto"/>
        <w:bottom w:val="none" w:sz="0" w:space="0" w:color="auto"/>
        <w:right w:val="none" w:sz="0" w:space="0" w:color="auto"/>
      </w:divBdr>
    </w:div>
    <w:div w:id="722216616">
      <w:bodyDiv w:val="1"/>
      <w:marLeft w:val="0"/>
      <w:marRight w:val="0"/>
      <w:marTop w:val="0"/>
      <w:marBottom w:val="0"/>
      <w:divBdr>
        <w:top w:val="none" w:sz="0" w:space="0" w:color="auto"/>
        <w:left w:val="none" w:sz="0" w:space="0" w:color="auto"/>
        <w:bottom w:val="none" w:sz="0" w:space="0" w:color="auto"/>
        <w:right w:val="none" w:sz="0" w:space="0" w:color="auto"/>
      </w:divBdr>
    </w:div>
    <w:div w:id="962616966">
      <w:bodyDiv w:val="1"/>
      <w:marLeft w:val="0"/>
      <w:marRight w:val="0"/>
      <w:marTop w:val="0"/>
      <w:marBottom w:val="0"/>
      <w:divBdr>
        <w:top w:val="none" w:sz="0" w:space="0" w:color="auto"/>
        <w:left w:val="none" w:sz="0" w:space="0" w:color="auto"/>
        <w:bottom w:val="none" w:sz="0" w:space="0" w:color="auto"/>
        <w:right w:val="none" w:sz="0" w:space="0" w:color="auto"/>
      </w:divBdr>
    </w:div>
    <w:div w:id="1174884260">
      <w:bodyDiv w:val="1"/>
      <w:marLeft w:val="0"/>
      <w:marRight w:val="0"/>
      <w:marTop w:val="0"/>
      <w:marBottom w:val="0"/>
      <w:divBdr>
        <w:top w:val="none" w:sz="0" w:space="0" w:color="auto"/>
        <w:left w:val="none" w:sz="0" w:space="0" w:color="auto"/>
        <w:bottom w:val="none" w:sz="0" w:space="0" w:color="auto"/>
        <w:right w:val="none" w:sz="0" w:space="0" w:color="auto"/>
      </w:divBdr>
    </w:div>
    <w:div w:id="1220436016">
      <w:bodyDiv w:val="1"/>
      <w:marLeft w:val="0"/>
      <w:marRight w:val="0"/>
      <w:marTop w:val="0"/>
      <w:marBottom w:val="0"/>
      <w:divBdr>
        <w:top w:val="none" w:sz="0" w:space="0" w:color="auto"/>
        <w:left w:val="none" w:sz="0" w:space="0" w:color="auto"/>
        <w:bottom w:val="none" w:sz="0" w:space="0" w:color="auto"/>
        <w:right w:val="none" w:sz="0" w:space="0" w:color="auto"/>
      </w:divBdr>
    </w:div>
    <w:div w:id="1745058041">
      <w:bodyDiv w:val="1"/>
      <w:marLeft w:val="0"/>
      <w:marRight w:val="0"/>
      <w:marTop w:val="0"/>
      <w:marBottom w:val="0"/>
      <w:divBdr>
        <w:top w:val="none" w:sz="0" w:space="0" w:color="auto"/>
        <w:left w:val="none" w:sz="0" w:space="0" w:color="auto"/>
        <w:bottom w:val="none" w:sz="0" w:space="0" w:color="auto"/>
        <w:right w:val="none" w:sz="0" w:space="0" w:color="auto"/>
      </w:divBdr>
    </w:div>
    <w:div w:id="1784114358">
      <w:bodyDiv w:val="1"/>
      <w:marLeft w:val="0"/>
      <w:marRight w:val="0"/>
      <w:marTop w:val="0"/>
      <w:marBottom w:val="0"/>
      <w:divBdr>
        <w:top w:val="none" w:sz="0" w:space="0" w:color="auto"/>
        <w:left w:val="none" w:sz="0" w:space="0" w:color="auto"/>
        <w:bottom w:val="none" w:sz="0" w:space="0" w:color="auto"/>
        <w:right w:val="none" w:sz="0" w:space="0" w:color="auto"/>
      </w:divBdr>
    </w:div>
    <w:div w:id="1907492993">
      <w:bodyDiv w:val="1"/>
      <w:marLeft w:val="0"/>
      <w:marRight w:val="0"/>
      <w:marTop w:val="0"/>
      <w:marBottom w:val="0"/>
      <w:divBdr>
        <w:top w:val="none" w:sz="0" w:space="0" w:color="auto"/>
        <w:left w:val="none" w:sz="0" w:space="0" w:color="auto"/>
        <w:bottom w:val="none" w:sz="0" w:space="0" w:color="auto"/>
        <w:right w:val="none" w:sz="0" w:space="0" w:color="auto"/>
      </w:divBdr>
    </w:div>
    <w:div w:id="1963228448">
      <w:bodyDiv w:val="1"/>
      <w:marLeft w:val="0"/>
      <w:marRight w:val="0"/>
      <w:marTop w:val="0"/>
      <w:marBottom w:val="0"/>
      <w:divBdr>
        <w:top w:val="none" w:sz="0" w:space="0" w:color="auto"/>
        <w:left w:val="none" w:sz="0" w:space="0" w:color="auto"/>
        <w:bottom w:val="none" w:sz="0" w:space="0" w:color="auto"/>
        <w:right w:val="none" w:sz="0" w:space="0" w:color="auto"/>
      </w:divBdr>
    </w:div>
    <w:div w:id="2089688044">
      <w:bodyDiv w:val="1"/>
      <w:marLeft w:val="0"/>
      <w:marRight w:val="0"/>
      <w:marTop w:val="0"/>
      <w:marBottom w:val="0"/>
      <w:divBdr>
        <w:top w:val="none" w:sz="0" w:space="0" w:color="auto"/>
        <w:left w:val="none" w:sz="0" w:space="0" w:color="auto"/>
        <w:bottom w:val="none" w:sz="0" w:space="0" w:color="auto"/>
        <w:right w:val="none" w:sz="0" w:space="0" w:color="auto"/>
      </w:divBdr>
    </w:div>
    <w:div w:id="2115203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package" Target="embeddings/Microsoft_Excel_Worksheet2.xlsx"/><Relationship Id="rId26" Type="http://schemas.openxmlformats.org/officeDocument/2006/relationships/package" Target="embeddings/Microsoft_Excel_Worksheet6.xlsx"/><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5.xlsx"/><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hyperlink" Target="https://insurance.maryland.gov/Insurer/Pages/default.aspx" TargetMode="External"/><Relationship Id="rId19" Type="http://schemas.openxmlformats.org/officeDocument/2006/relationships/image" Target="media/image6.emf"/><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package" Target="embeddings/Microsoft_Excel_Worksheet.xlsx"/><Relationship Id="rId22" Type="http://schemas.openxmlformats.org/officeDocument/2006/relationships/package" Target="embeddings/Microsoft_Excel_Worksheet4.xlsx"/><Relationship Id="rId27" Type="http://schemas.openxmlformats.org/officeDocument/2006/relationships/footer" Target="footer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4FD70D4D57E340B0DBDB56293AEA0F" ma:contentTypeVersion="2" ma:contentTypeDescription="Create a new document." ma:contentTypeScope="" ma:versionID="f1c28035d68f5ae458f4088280b00fc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02C617-1B5E-4C31-8970-54244731159E}">
  <ds:schemaRefs>
    <ds:schemaRef ds:uri="http://schemas.openxmlformats.org/officeDocument/2006/bibliography"/>
  </ds:schemaRefs>
</ds:datastoreItem>
</file>

<file path=customXml/itemProps2.xml><?xml version="1.0" encoding="utf-8"?>
<ds:datastoreItem xmlns:ds="http://schemas.openxmlformats.org/officeDocument/2006/customXml" ds:itemID="{6E632A4F-6DC2-42DF-B74D-662206A96BDE}"/>
</file>

<file path=customXml/itemProps3.xml><?xml version="1.0" encoding="utf-8"?>
<ds:datastoreItem xmlns:ds="http://schemas.openxmlformats.org/officeDocument/2006/customXml" ds:itemID="{D0BCC899-F606-46A0-B070-9C3B1E624988}"/>
</file>

<file path=customXml/itemProps4.xml><?xml version="1.0" encoding="utf-8"?>
<ds:datastoreItem xmlns:ds="http://schemas.openxmlformats.org/officeDocument/2006/customXml" ds:itemID="{A27449B1-4A7F-4531-A4EB-3811AA2017A3}"/>
</file>

<file path=docProps/app.xml><?xml version="1.0" encoding="utf-8"?>
<Properties xmlns="http://schemas.openxmlformats.org/officeDocument/2006/extended-properties" xmlns:vt="http://schemas.openxmlformats.org/officeDocument/2006/docPropsVTypes">
  <Template>Normal</Template>
  <TotalTime>1</TotalTime>
  <Pages>31</Pages>
  <Words>11921</Words>
  <Characters>67952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79714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Maryland Insurance Administration</dc:creator>
  <cp:keywords/>
  <cp:lastModifiedBy>Joseph A. Sviatko</cp:lastModifiedBy>
  <cp:revision>2</cp:revision>
  <cp:lastPrinted>2026-04-03T21:03:00Z</cp:lastPrinted>
  <dcterms:created xsi:type="dcterms:W3CDTF">2026-05-15T18:26:00Z</dcterms:created>
  <dcterms:modified xsi:type="dcterms:W3CDTF">2026-05-15T18:26:00Z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0x010100ED4FD70D4D57E340B0DBDB56293AEA0F</vt:lpwstr>
  </property>
</Properties>
</file>