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0FA82" w14:textId="1414C506" w:rsidR="0020370E" w:rsidRPr="0020370E" w:rsidRDefault="0020370E" w:rsidP="003E246D">
      <w:pPr>
        <w:ind w:left="180"/>
        <w:rPr>
          <w:sz w:val="24"/>
          <w:szCs w:val="24"/>
        </w:rPr>
      </w:pPr>
      <w:r w:rsidRPr="009B75FA">
        <w:rPr>
          <w:sz w:val="22"/>
          <w:szCs w:val="22"/>
        </w:rPr>
        <w:t>The template tables</w:t>
      </w:r>
      <w:r w:rsidR="0054311C" w:rsidRPr="009B75FA">
        <w:rPr>
          <w:sz w:val="22"/>
          <w:szCs w:val="22"/>
        </w:rPr>
        <w:t xml:space="preserve">, </w:t>
      </w:r>
      <w:r w:rsidRPr="009B75FA">
        <w:rPr>
          <w:sz w:val="22"/>
          <w:szCs w:val="22"/>
        </w:rPr>
        <w:t>definitions and instructions</w:t>
      </w:r>
      <w:r w:rsidR="0054311C" w:rsidRPr="009B75FA">
        <w:rPr>
          <w:sz w:val="22"/>
          <w:szCs w:val="22"/>
        </w:rPr>
        <w:t xml:space="preserve"> set forth below</w:t>
      </w:r>
      <w:r w:rsidRPr="009B75FA">
        <w:rPr>
          <w:sz w:val="22"/>
          <w:szCs w:val="22"/>
        </w:rPr>
        <w:t xml:space="preserve"> provide a consistent and reliable methodology for assessing comparability of INN provider reimbursement rates for the CPT </w:t>
      </w:r>
      <w:r w:rsidR="00B5624E">
        <w:rPr>
          <w:sz w:val="22"/>
          <w:szCs w:val="22"/>
        </w:rPr>
        <w:t xml:space="preserve">office visit </w:t>
      </w:r>
      <w:r w:rsidRPr="009B75FA">
        <w:rPr>
          <w:sz w:val="22"/>
          <w:szCs w:val="22"/>
        </w:rPr>
        <w:t xml:space="preserve">codes listed. Additional </w:t>
      </w:r>
      <w:r w:rsidR="0054311C" w:rsidRPr="009B75FA">
        <w:rPr>
          <w:sz w:val="22"/>
          <w:szCs w:val="22"/>
        </w:rPr>
        <w:t xml:space="preserve">CPT codes </w:t>
      </w:r>
      <w:r w:rsidRPr="009B75FA">
        <w:rPr>
          <w:sz w:val="22"/>
          <w:szCs w:val="22"/>
        </w:rPr>
        <w:t>for commonly delivered outpatient services can be added</w:t>
      </w:r>
      <w:r w:rsidR="0054311C" w:rsidRPr="009B75FA">
        <w:rPr>
          <w:sz w:val="22"/>
          <w:szCs w:val="22"/>
        </w:rPr>
        <w:t xml:space="preserve"> to these tables for comparability analyses</w:t>
      </w:r>
      <w:r w:rsidR="0054311C">
        <w:rPr>
          <w:sz w:val="24"/>
          <w:szCs w:val="24"/>
        </w:rPr>
        <w:t>.</w:t>
      </w:r>
      <w:r>
        <w:rPr>
          <w:sz w:val="24"/>
          <w:szCs w:val="24"/>
        </w:rPr>
        <w:t xml:space="preserve">   </w:t>
      </w:r>
    </w:p>
    <w:tbl>
      <w:tblPr>
        <w:tblW w:w="9027" w:type="dxa"/>
        <w:tblInd w:w="90" w:type="dxa"/>
        <w:tblLook w:val="04A0" w:firstRow="1" w:lastRow="0" w:firstColumn="1" w:lastColumn="0" w:noHBand="0" w:noVBand="1"/>
      </w:tblPr>
      <w:tblGrid>
        <w:gridCol w:w="342"/>
        <w:gridCol w:w="288"/>
        <w:gridCol w:w="2700"/>
        <w:gridCol w:w="1440"/>
        <w:gridCol w:w="877"/>
        <w:gridCol w:w="563"/>
        <w:gridCol w:w="1080"/>
        <w:gridCol w:w="270"/>
        <w:gridCol w:w="1467"/>
      </w:tblGrid>
      <w:tr w:rsidR="00DB26A9" w:rsidRPr="00DB26A9" w14:paraId="73BF4BC8" w14:textId="77777777" w:rsidTr="00C83751">
        <w:trPr>
          <w:trHeight w:val="4500"/>
        </w:trPr>
        <w:tc>
          <w:tcPr>
            <w:tcW w:w="9027" w:type="dxa"/>
            <w:gridSpan w:val="9"/>
            <w:tcBorders>
              <w:top w:val="nil"/>
              <w:left w:val="nil"/>
              <w:bottom w:val="single" w:sz="4" w:space="0" w:color="auto"/>
              <w:right w:val="nil"/>
            </w:tcBorders>
            <w:shd w:val="clear" w:color="auto" w:fill="auto"/>
            <w:vAlign w:val="center"/>
            <w:hideMark/>
          </w:tcPr>
          <w:p w14:paraId="1E66A8E4" w14:textId="77777777" w:rsidR="0054311C" w:rsidRDefault="0054311C" w:rsidP="00DB26A9">
            <w:pPr>
              <w:rPr>
                <w:rFonts w:eastAsia="Times New Roman"/>
                <w:b/>
                <w:bCs/>
                <w:sz w:val="22"/>
                <w:szCs w:val="22"/>
                <w:u w:val="single"/>
              </w:rPr>
            </w:pPr>
          </w:p>
          <w:p w14:paraId="6F530B40" w14:textId="485FC3C0" w:rsidR="00DB26A9" w:rsidRDefault="0054311C" w:rsidP="0054311C">
            <w:pPr>
              <w:rPr>
                <w:rFonts w:eastAsia="Times New Roman"/>
                <w:sz w:val="22"/>
                <w:szCs w:val="22"/>
              </w:rPr>
            </w:pPr>
            <w:r>
              <w:rPr>
                <w:rFonts w:eastAsia="Times New Roman"/>
                <w:b/>
                <w:bCs/>
                <w:sz w:val="22"/>
                <w:szCs w:val="22"/>
                <w:u w:val="single"/>
              </w:rPr>
              <w:t xml:space="preserve">A.  </w:t>
            </w:r>
            <w:r w:rsidR="00701C58">
              <w:rPr>
                <w:rFonts w:eastAsia="Times New Roman"/>
                <w:b/>
                <w:bCs/>
                <w:sz w:val="22"/>
                <w:szCs w:val="22"/>
                <w:u w:val="single"/>
              </w:rPr>
              <w:t>M/S Physicians vs. Psychiatrists f</w:t>
            </w:r>
            <w:r w:rsidR="00DB26A9" w:rsidRPr="00DB26A9">
              <w:rPr>
                <w:rFonts w:eastAsia="Times New Roman"/>
                <w:b/>
                <w:bCs/>
                <w:sz w:val="22"/>
                <w:szCs w:val="22"/>
                <w:u w:val="single"/>
              </w:rPr>
              <w:t>or In-Network provider office visits</w:t>
            </w:r>
            <w:r w:rsidR="00DB26A9" w:rsidRPr="00DB26A9">
              <w:rPr>
                <w:rFonts w:eastAsia="Times New Roman"/>
                <w:sz w:val="22"/>
                <w:szCs w:val="22"/>
              </w:rPr>
              <w:t xml:space="preserve">, for the CPT codes provided in Table </w:t>
            </w:r>
            <w:r w:rsidR="009D39E8">
              <w:rPr>
                <w:rFonts w:eastAsia="Times New Roman"/>
                <w:sz w:val="22"/>
                <w:szCs w:val="22"/>
              </w:rPr>
              <w:t>A</w:t>
            </w:r>
            <w:r w:rsidR="00DB26A9" w:rsidRPr="00DB26A9">
              <w:rPr>
                <w:rFonts w:eastAsia="Times New Roman"/>
                <w:sz w:val="22"/>
                <w:szCs w:val="22"/>
              </w:rPr>
              <w:t xml:space="preserve"> (below), provide the </w:t>
            </w:r>
            <w:r w:rsidR="00DB26A9" w:rsidRPr="00CA411D">
              <w:rPr>
                <w:rFonts w:eastAsia="Times New Roman"/>
                <w:sz w:val="22"/>
                <w:szCs w:val="22"/>
                <w:u w:val="single"/>
              </w:rPr>
              <w:t>weighted average allowed amounts</w:t>
            </w:r>
            <w:r w:rsidR="00DB26A9" w:rsidRPr="00DB26A9">
              <w:rPr>
                <w:rFonts w:eastAsia="Times New Roman"/>
                <w:sz w:val="22"/>
                <w:szCs w:val="22"/>
              </w:rPr>
              <w:t xml:space="preserve"> for the following groups of providers:</w:t>
            </w:r>
            <w:r w:rsidR="00DB26A9" w:rsidRPr="00DB26A9">
              <w:rPr>
                <w:rFonts w:eastAsia="Times New Roman"/>
                <w:sz w:val="22"/>
                <w:szCs w:val="22"/>
              </w:rPr>
              <w:br/>
            </w:r>
            <w:r w:rsidR="00DB26A9" w:rsidRPr="00DB26A9">
              <w:rPr>
                <w:rFonts w:eastAsia="Times New Roman"/>
                <w:sz w:val="22"/>
                <w:szCs w:val="22"/>
              </w:rPr>
              <w:br/>
              <w:t xml:space="preserve">• </w:t>
            </w:r>
            <w:r w:rsidR="00DB26A9" w:rsidRPr="00DB26A9">
              <w:rPr>
                <w:rFonts w:eastAsia="Times New Roman"/>
                <w:i/>
                <w:iCs/>
                <w:sz w:val="22"/>
                <w:szCs w:val="22"/>
                <w:u w:val="single"/>
              </w:rPr>
              <w:t>Primary Care Physicians, “PCPs”</w:t>
            </w:r>
            <w:r w:rsidR="00DB26A9" w:rsidRPr="00DB26A9">
              <w:rPr>
                <w:rFonts w:eastAsia="Times New Roman"/>
                <w:sz w:val="22"/>
                <w:szCs w:val="22"/>
              </w:rPr>
              <w:t xml:space="preserve">, defined as general practice, family practice, internal medicine, and pediatric medicine physicians. </w:t>
            </w:r>
            <w:r w:rsidR="00DB26A9" w:rsidRPr="00DB26A9">
              <w:rPr>
                <w:rFonts w:eastAsia="Times New Roman"/>
                <w:sz w:val="22"/>
                <w:szCs w:val="22"/>
              </w:rPr>
              <w:br/>
              <w:t xml:space="preserve">• </w:t>
            </w:r>
            <w:r w:rsidR="00DB26A9" w:rsidRPr="00DB26A9">
              <w:rPr>
                <w:rFonts w:eastAsia="Times New Roman"/>
                <w:i/>
                <w:iCs/>
                <w:sz w:val="22"/>
                <w:szCs w:val="22"/>
                <w:u w:val="single"/>
              </w:rPr>
              <w:t>Non-psychiatrist Medical/Surgical Specialist Physicians</w:t>
            </w:r>
            <w:r w:rsidR="00DB26A9" w:rsidRPr="00DB26A9">
              <w:rPr>
                <w:rFonts w:eastAsia="Times New Roman"/>
                <w:sz w:val="22"/>
                <w:szCs w:val="22"/>
              </w:rPr>
              <w:t xml:space="preserve">, defined to include non-psychiatrist specialty physicians, such as orthopedic surgeons, dermatologists, neurologists, etc. This category excludes PCPs.   </w:t>
            </w:r>
            <w:r w:rsidR="00DB26A9" w:rsidRPr="00DB26A9">
              <w:rPr>
                <w:rFonts w:eastAsia="Times New Roman"/>
                <w:sz w:val="22"/>
                <w:szCs w:val="22"/>
              </w:rPr>
              <w:br/>
              <w:t xml:space="preserve">• </w:t>
            </w:r>
            <w:r w:rsidR="00DB26A9" w:rsidRPr="00DB26A9">
              <w:rPr>
                <w:rFonts w:eastAsia="Times New Roman"/>
                <w:i/>
                <w:iCs/>
                <w:sz w:val="22"/>
                <w:szCs w:val="22"/>
                <w:u w:val="single"/>
              </w:rPr>
              <w:t>Psychiatrists</w:t>
            </w:r>
            <w:r w:rsidR="00DB26A9" w:rsidRPr="00DB26A9">
              <w:rPr>
                <w:rFonts w:eastAsia="Times New Roman"/>
                <w:sz w:val="22"/>
                <w:szCs w:val="22"/>
              </w:rPr>
              <w:t xml:space="preserve">, including child psychiatrists. </w:t>
            </w:r>
            <w:r w:rsidR="00DB26A9" w:rsidRPr="00DB26A9">
              <w:rPr>
                <w:rFonts w:eastAsia="Times New Roman"/>
                <w:sz w:val="22"/>
                <w:szCs w:val="22"/>
              </w:rPr>
              <w:br/>
              <w:t xml:space="preserve"> </w:t>
            </w:r>
            <w:r w:rsidR="00DB26A9" w:rsidRPr="00DB26A9">
              <w:rPr>
                <w:rFonts w:eastAsia="Times New Roman"/>
                <w:sz w:val="22"/>
                <w:szCs w:val="22"/>
              </w:rPr>
              <w:br/>
            </w:r>
            <w:r w:rsidR="00DB26A9" w:rsidRPr="00DB26A9">
              <w:rPr>
                <w:rFonts w:eastAsia="Times New Roman"/>
                <w:b/>
                <w:bCs/>
                <w:sz w:val="22"/>
                <w:szCs w:val="22"/>
              </w:rPr>
              <w:t xml:space="preserve">Instructions for completing Table </w:t>
            </w:r>
            <w:r>
              <w:rPr>
                <w:rFonts w:eastAsia="Times New Roman"/>
                <w:b/>
                <w:bCs/>
                <w:sz w:val="22"/>
                <w:szCs w:val="22"/>
              </w:rPr>
              <w:t>A</w:t>
            </w:r>
            <w:r w:rsidR="00DB26A9" w:rsidRPr="00DB26A9">
              <w:rPr>
                <w:rFonts w:eastAsia="Times New Roman"/>
                <w:b/>
                <w:bCs/>
                <w:sz w:val="22"/>
                <w:szCs w:val="22"/>
              </w:rPr>
              <w:t xml:space="preserve">: </w:t>
            </w:r>
            <w:r w:rsidR="00DB26A9" w:rsidRPr="00DB26A9">
              <w:rPr>
                <w:rFonts w:eastAsia="Times New Roman"/>
                <w:sz w:val="22"/>
                <w:szCs w:val="22"/>
              </w:rPr>
              <w:br/>
              <w:t xml:space="preserve">• In Rows 1– 4, insert the </w:t>
            </w:r>
            <w:r w:rsidR="00DB26A9" w:rsidRPr="007A4815">
              <w:rPr>
                <w:rFonts w:eastAsia="Times New Roman"/>
                <w:sz w:val="22"/>
                <w:szCs w:val="22"/>
              </w:rPr>
              <w:t>weighted average allowed amounts</w:t>
            </w:r>
            <w:r w:rsidR="00DB26A9" w:rsidRPr="00DB26A9">
              <w:rPr>
                <w:rFonts w:eastAsia="Times New Roman"/>
                <w:sz w:val="22"/>
                <w:szCs w:val="22"/>
              </w:rPr>
              <w:t xml:space="preserve"> (weighted by the proportion of claims allowed at each allowed amount level) for Column A (CPT 99213) and Column B (99214). This calculation provide</w:t>
            </w:r>
            <w:r w:rsidR="009D39E8">
              <w:rPr>
                <w:rFonts w:eastAsia="Times New Roman"/>
                <w:sz w:val="22"/>
                <w:szCs w:val="22"/>
              </w:rPr>
              <w:t>s</w:t>
            </w:r>
            <w:r w:rsidR="00DB26A9" w:rsidRPr="00DB26A9">
              <w:rPr>
                <w:rFonts w:eastAsia="Times New Roman"/>
                <w:sz w:val="22"/>
                <w:szCs w:val="22"/>
              </w:rPr>
              <w:t xml:space="preserve"> the same result as calculating the sum </w:t>
            </w:r>
            <w:r w:rsidR="00CA411D">
              <w:rPr>
                <w:rFonts w:eastAsia="Times New Roman"/>
                <w:sz w:val="22"/>
                <w:szCs w:val="22"/>
              </w:rPr>
              <w:t xml:space="preserve">($) </w:t>
            </w:r>
            <w:r w:rsidR="00DB26A9" w:rsidRPr="00DB26A9">
              <w:rPr>
                <w:rFonts w:eastAsia="Times New Roman"/>
                <w:sz w:val="22"/>
                <w:szCs w:val="22"/>
              </w:rPr>
              <w:t>of the allowed amounts for every in-network 99213 and 99214 claim that was allowed for PCPs, and dividing that sum</w:t>
            </w:r>
            <w:r w:rsidR="00CA411D">
              <w:rPr>
                <w:rFonts w:eastAsia="Times New Roman"/>
                <w:sz w:val="22"/>
                <w:szCs w:val="22"/>
              </w:rPr>
              <w:t xml:space="preserve"> ($)</w:t>
            </w:r>
            <w:r w:rsidR="00DB26A9" w:rsidRPr="00DB26A9">
              <w:rPr>
                <w:rFonts w:eastAsia="Times New Roman"/>
                <w:sz w:val="22"/>
                <w:szCs w:val="22"/>
              </w:rPr>
              <w:t xml:space="preserve"> by the total number of such claims allowed for PCPs.  </w:t>
            </w:r>
            <w:r w:rsidR="00DB26A9" w:rsidRPr="00DB26A9">
              <w:rPr>
                <w:rFonts w:eastAsia="Times New Roman"/>
                <w:sz w:val="22"/>
                <w:szCs w:val="22"/>
              </w:rPr>
              <w:br/>
              <w:t xml:space="preserve">• In Row 5, insert the percentage amount (if any) by which the in-network reimbursement for PCPs and other non-psychiatrist M/S specialist physicians (combined) was </w:t>
            </w:r>
            <w:r w:rsidR="00DB26A9" w:rsidRPr="00DB26A9">
              <w:rPr>
                <w:rFonts w:eastAsia="Times New Roman"/>
                <w:sz w:val="22"/>
                <w:szCs w:val="22"/>
                <w:u w:val="single"/>
              </w:rPr>
              <w:t>greater</w:t>
            </w:r>
            <w:r w:rsidR="00DB26A9" w:rsidRPr="00DB26A9">
              <w:rPr>
                <w:rFonts w:eastAsia="Times New Roman"/>
                <w:sz w:val="22"/>
                <w:szCs w:val="22"/>
              </w:rPr>
              <w:t xml:space="preserve"> than for psychiatrists (Example 1: 110/98 = 1.12 - 1 = 0.12 x 100 = 12%. Example 2: 105/108 = 0.97 - 1 = -0.03 x 100 = -3%).  </w:t>
            </w:r>
          </w:p>
          <w:p w14:paraId="09AAAD19" w14:textId="6E5934FF" w:rsidR="0054311C" w:rsidRPr="00DB26A9" w:rsidRDefault="0054311C" w:rsidP="0054311C">
            <w:pPr>
              <w:rPr>
                <w:rFonts w:eastAsia="Times New Roman"/>
                <w:sz w:val="22"/>
                <w:szCs w:val="22"/>
              </w:rPr>
            </w:pPr>
          </w:p>
        </w:tc>
      </w:tr>
      <w:tr w:rsidR="00DB26A9" w:rsidRPr="00DB26A9" w14:paraId="7AFC62E7" w14:textId="77777777" w:rsidTr="00C83751">
        <w:trPr>
          <w:trHeight w:val="668"/>
        </w:trPr>
        <w:tc>
          <w:tcPr>
            <w:tcW w:w="902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07CAD0" w14:textId="57D88D56" w:rsidR="00DB26A9" w:rsidRPr="00DB26A9" w:rsidRDefault="00DB26A9" w:rsidP="003E246D">
            <w:pPr>
              <w:jc w:val="center"/>
              <w:rPr>
                <w:rFonts w:eastAsia="Times New Roman"/>
                <w:b/>
                <w:bCs/>
                <w:sz w:val="24"/>
                <w:szCs w:val="24"/>
              </w:rPr>
            </w:pPr>
            <w:r w:rsidRPr="00DB26A9">
              <w:rPr>
                <w:rFonts w:eastAsia="Times New Roman"/>
                <w:b/>
                <w:bCs/>
                <w:sz w:val="24"/>
                <w:szCs w:val="24"/>
              </w:rPr>
              <w:t xml:space="preserve">Table </w:t>
            </w:r>
            <w:r w:rsidR="0054311C">
              <w:rPr>
                <w:rFonts w:eastAsia="Times New Roman"/>
                <w:b/>
                <w:bCs/>
                <w:sz w:val="24"/>
                <w:szCs w:val="24"/>
              </w:rPr>
              <w:t>A</w:t>
            </w:r>
            <w:r w:rsidRPr="00DB26A9">
              <w:rPr>
                <w:rFonts w:eastAsia="Times New Roman"/>
                <w:b/>
                <w:bCs/>
                <w:sz w:val="24"/>
                <w:szCs w:val="24"/>
              </w:rPr>
              <w:t xml:space="preserve"> </w:t>
            </w:r>
            <w:r w:rsidR="0054311C">
              <w:rPr>
                <w:rFonts w:eastAsia="Times New Roman"/>
                <w:b/>
                <w:bCs/>
                <w:sz w:val="24"/>
                <w:szCs w:val="24"/>
              </w:rPr>
              <w:t>–</w:t>
            </w:r>
            <w:r w:rsidRPr="00DB26A9">
              <w:rPr>
                <w:rFonts w:eastAsia="Times New Roman"/>
                <w:b/>
                <w:bCs/>
                <w:sz w:val="24"/>
                <w:szCs w:val="24"/>
              </w:rPr>
              <w:t xml:space="preserve"> P</w:t>
            </w:r>
            <w:r w:rsidR="0054311C">
              <w:rPr>
                <w:rFonts w:eastAsia="Times New Roman"/>
                <w:b/>
                <w:bCs/>
                <w:sz w:val="24"/>
                <w:szCs w:val="24"/>
              </w:rPr>
              <w:t xml:space="preserve">roduct </w:t>
            </w:r>
            <w:r w:rsidRPr="00DB26A9">
              <w:rPr>
                <w:rFonts w:eastAsia="Times New Roman"/>
                <w:b/>
                <w:bCs/>
                <w:sz w:val="24"/>
                <w:szCs w:val="24"/>
              </w:rPr>
              <w:t>Data for Year</w:t>
            </w:r>
            <w:r w:rsidR="0054311C">
              <w:rPr>
                <w:rFonts w:eastAsia="Times New Roman"/>
                <w:b/>
                <w:bCs/>
                <w:sz w:val="24"/>
                <w:szCs w:val="24"/>
              </w:rPr>
              <w:t xml:space="preserve"> </w:t>
            </w:r>
            <w:r w:rsidR="003E246D">
              <w:rPr>
                <w:rFonts w:eastAsia="Times New Roman"/>
                <w:b/>
                <w:bCs/>
                <w:sz w:val="24"/>
                <w:szCs w:val="24"/>
              </w:rPr>
              <w:t>2020</w:t>
            </w:r>
            <w:r w:rsidRPr="00DB26A9">
              <w:rPr>
                <w:rFonts w:eastAsia="Times New Roman"/>
                <w:b/>
                <w:bCs/>
                <w:sz w:val="24"/>
                <w:szCs w:val="24"/>
              </w:rPr>
              <w:br/>
              <w:t xml:space="preserve">Medical/Surgical Physicians </w:t>
            </w:r>
            <w:r w:rsidRPr="00DB26A9">
              <w:rPr>
                <w:rFonts w:eastAsia="Times New Roman"/>
                <w:b/>
                <w:bCs/>
                <w:sz w:val="24"/>
                <w:szCs w:val="24"/>
                <w:u w:val="single"/>
              </w:rPr>
              <w:t>compared to</w:t>
            </w:r>
            <w:r w:rsidRPr="00DB26A9">
              <w:rPr>
                <w:rFonts w:eastAsia="Times New Roman"/>
                <w:b/>
                <w:bCs/>
                <w:sz w:val="24"/>
                <w:szCs w:val="24"/>
              </w:rPr>
              <w:t xml:space="preserve"> Psychiatrists</w:t>
            </w:r>
          </w:p>
        </w:tc>
      </w:tr>
      <w:tr w:rsidR="00DB26A9" w:rsidRPr="00DB26A9" w14:paraId="129A4562" w14:textId="77777777" w:rsidTr="00C83751">
        <w:trPr>
          <w:trHeight w:val="370"/>
        </w:trPr>
        <w:tc>
          <w:tcPr>
            <w:tcW w:w="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B33DA" w14:textId="77777777" w:rsidR="00DB26A9" w:rsidRPr="00DB26A9" w:rsidRDefault="00DB26A9" w:rsidP="00DB26A9">
            <w:pPr>
              <w:jc w:val="both"/>
              <w:rPr>
                <w:rFonts w:eastAsia="Times New Roman"/>
                <w:b/>
                <w:bCs/>
                <w:color w:val="000000"/>
                <w:sz w:val="22"/>
                <w:szCs w:val="22"/>
              </w:rPr>
            </w:pPr>
            <w:r w:rsidRPr="00DB26A9">
              <w:rPr>
                <w:rFonts w:eastAsia="Times New Roman"/>
                <w:b/>
                <w:bCs/>
                <w:color w:val="000000"/>
                <w:sz w:val="22"/>
                <w:szCs w:val="22"/>
              </w:rPr>
              <w:t> </w:t>
            </w:r>
          </w:p>
        </w:tc>
        <w:tc>
          <w:tcPr>
            <w:tcW w:w="5305" w:type="dxa"/>
            <w:gridSpan w:val="4"/>
            <w:tcBorders>
              <w:top w:val="single" w:sz="4" w:space="0" w:color="auto"/>
              <w:left w:val="nil"/>
              <w:bottom w:val="single" w:sz="4" w:space="0" w:color="auto"/>
              <w:right w:val="single" w:sz="4" w:space="0" w:color="auto"/>
            </w:tcBorders>
            <w:shd w:val="clear" w:color="000000" w:fill="FFFFFF"/>
            <w:vAlign w:val="center"/>
            <w:hideMark/>
          </w:tcPr>
          <w:p w14:paraId="0EB0F675" w14:textId="77777777" w:rsidR="00DB26A9" w:rsidRPr="00DB26A9" w:rsidRDefault="00DB26A9" w:rsidP="00DB26A9">
            <w:pPr>
              <w:jc w:val="both"/>
              <w:rPr>
                <w:rFonts w:eastAsia="Times New Roman"/>
                <w:b/>
                <w:bCs/>
                <w:color w:val="000000"/>
                <w:sz w:val="22"/>
                <w:szCs w:val="22"/>
              </w:rPr>
            </w:pPr>
            <w:r w:rsidRPr="00DB26A9">
              <w:rPr>
                <w:rFonts w:eastAsia="Times New Roman"/>
                <w:b/>
                <w:bCs/>
                <w:color w:val="000000"/>
                <w:sz w:val="22"/>
                <w:szCs w:val="22"/>
              </w:rPr>
              <w:t>Description</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14:paraId="35EBAC30" w14:textId="77777777" w:rsidR="00DB26A9" w:rsidRPr="00DB26A9" w:rsidRDefault="00DB26A9" w:rsidP="00DB26A9">
            <w:pPr>
              <w:jc w:val="center"/>
              <w:rPr>
                <w:rFonts w:eastAsia="Times New Roman"/>
                <w:b/>
                <w:bCs/>
                <w:color w:val="000000"/>
                <w:sz w:val="22"/>
                <w:szCs w:val="22"/>
                <w:u w:val="single"/>
              </w:rPr>
            </w:pPr>
            <w:r w:rsidRPr="00DB26A9">
              <w:rPr>
                <w:rFonts w:eastAsia="Times New Roman"/>
                <w:b/>
                <w:bCs/>
                <w:color w:val="000000"/>
                <w:sz w:val="22"/>
                <w:szCs w:val="22"/>
                <w:u w:val="single"/>
              </w:rPr>
              <w:t xml:space="preserve">Column  A </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14:paraId="2D39846E" w14:textId="77777777" w:rsidR="00DB26A9" w:rsidRPr="00DB26A9" w:rsidRDefault="00DB26A9" w:rsidP="00DB26A9">
            <w:pPr>
              <w:jc w:val="center"/>
              <w:rPr>
                <w:rFonts w:eastAsia="Times New Roman"/>
                <w:b/>
                <w:bCs/>
                <w:color w:val="000000"/>
                <w:sz w:val="22"/>
                <w:szCs w:val="22"/>
                <w:u w:val="single"/>
              </w:rPr>
            </w:pPr>
            <w:r w:rsidRPr="00DB26A9">
              <w:rPr>
                <w:rFonts w:eastAsia="Times New Roman"/>
                <w:b/>
                <w:bCs/>
                <w:color w:val="000000"/>
                <w:sz w:val="22"/>
                <w:szCs w:val="22"/>
                <w:u w:val="single"/>
              </w:rPr>
              <w:t>Column B</w:t>
            </w:r>
          </w:p>
        </w:tc>
      </w:tr>
      <w:tr w:rsidR="00DB26A9" w:rsidRPr="00DB26A9" w14:paraId="6B2976B2" w14:textId="77777777" w:rsidTr="00C83751">
        <w:trPr>
          <w:trHeight w:val="576"/>
        </w:trPr>
        <w:tc>
          <w:tcPr>
            <w:tcW w:w="3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476C6" w14:textId="77777777" w:rsidR="00DB26A9" w:rsidRPr="00DB26A9" w:rsidRDefault="00DB26A9" w:rsidP="00DB26A9">
            <w:pPr>
              <w:jc w:val="center"/>
              <w:rPr>
                <w:rFonts w:eastAsia="Times New Roman"/>
                <w:color w:val="000000"/>
                <w:sz w:val="22"/>
                <w:szCs w:val="22"/>
              </w:rPr>
            </w:pPr>
            <w:r w:rsidRPr="00DB26A9">
              <w:rPr>
                <w:rFonts w:eastAsia="Times New Roman"/>
                <w:color w:val="000000"/>
                <w:sz w:val="22"/>
                <w:szCs w:val="22"/>
              </w:rPr>
              <w:t> </w:t>
            </w:r>
          </w:p>
        </w:tc>
        <w:tc>
          <w:tcPr>
            <w:tcW w:w="5305" w:type="dxa"/>
            <w:gridSpan w:val="4"/>
            <w:tcBorders>
              <w:top w:val="single" w:sz="4" w:space="0" w:color="auto"/>
              <w:left w:val="nil"/>
              <w:bottom w:val="single" w:sz="4" w:space="0" w:color="auto"/>
              <w:right w:val="single" w:sz="4" w:space="0" w:color="auto"/>
            </w:tcBorders>
            <w:shd w:val="clear" w:color="000000" w:fill="FFFFFF"/>
            <w:vAlign w:val="center"/>
            <w:hideMark/>
          </w:tcPr>
          <w:p w14:paraId="002D7049" w14:textId="77777777" w:rsidR="00DB26A9" w:rsidRPr="00DB26A9" w:rsidRDefault="00DB26A9" w:rsidP="00DB26A9">
            <w:pPr>
              <w:rPr>
                <w:rFonts w:eastAsia="Times New Roman"/>
                <w:b/>
                <w:bCs/>
                <w:color w:val="000000"/>
                <w:sz w:val="22"/>
                <w:szCs w:val="22"/>
              </w:rPr>
            </w:pPr>
            <w:r w:rsidRPr="00DB26A9">
              <w:rPr>
                <w:rFonts w:eastAsia="Times New Roman"/>
                <w:b/>
                <w:bCs/>
                <w:color w:val="000000"/>
                <w:sz w:val="22"/>
                <w:szCs w:val="22"/>
              </w:rPr>
              <w:t xml:space="preserve">In-Network Office Visits Only </w:t>
            </w:r>
            <w:r w:rsidRPr="00DB26A9">
              <w:rPr>
                <w:rFonts w:eastAsia="Times New Roman"/>
                <w:b/>
                <w:bCs/>
                <w:color w:val="000000"/>
                <w:sz w:val="22"/>
                <w:szCs w:val="22"/>
              </w:rPr>
              <w:br/>
              <w:t>(non-facility based)</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14:paraId="6A3958A3"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CPT Code</w:t>
            </w:r>
            <w:r w:rsidRPr="00DB26A9">
              <w:rPr>
                <w:rFonts w:eastAsia="Times New Roman"/>
                <w:b/>
                <w:bCs/>
                <w:color w:val="000000"/>
                <w:sz w:val="22"/>
                <w:szCs w:val="22"/>
              </w:rPr>
              <w:br/>
              <w:t>99213</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14:paraId="350A674B"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CPT Code</w:t>
            </w:r>
            <w:r w:rsidRPr="00DB26A9">
              <w:rPr>
                <w:rFonts w:eastAsia="Times New Roman"/>
                <w:b/>
                <w:bCs/>
                <w:color w:val="000000"/>
                <w:sz w:val="22"/>
                <w:szCs w:val="22"/>
              </w:rPr>
              <w:br/>
              <w:t>99214</w:t>
            </w:r>
          </w:p>
        </w:tc>
      </w:tr>
      <w:tr w:rsidR="00DB26A9" w:rsidRPr="00DB26A9" w14:paraId="19267200" w14:textId="77777777" w:rsidTr="00C83751">
        <w:trPr>
          <w:trHeight w:val="593"/>
        </w:trPr>
        <w:tc>
          <w:tcPr>
            <w:tcW w:w="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B6B53" w14:textId="571EF057" w:rsidR="00DB26A9" w:rsidRPr="00DB26A9" w:rsidRDefault="00DB26A9" w:rsidP="0054311C">
            <w:pPr>
              <w:jc w:val="center"/>
              <w:rPr>
                <w:rFonts w:eastAsia="Times New Roman"/>
                <w:sz w:val="22"/>
                <w:szCs w:val="22"/>
              </w:rPr>
            </w:pPr>
            <w:r w:rsidRPr="00DB26A9">
              <w:rPr>
                <w:rFonts w:eastAsia="Times New Roman"/>
                <w:sz w:val="22"/>
                <w:szCs w:val="22"/>
              </w:rPr>
              <w:t>1</w:t>
            </w:r>
          </w:p>
        </w:tc>
        <w:tc>
          <w:tcPr>
            <w:tcW w:w="5305" w:type="dxa"/>
            <w:gridSpan w:val="4"/>
            <w:tcBorders>
              <w:top w:val="single" w:sz="4" w:space="0" w:color="auto"/>
              <w:left w:val="nil"/>
              <w:bottom w:val="single" w:sz="4" w:space="0" w:color="auto"/>
              <w:right w:val="single" w:sz="4" w:space="0" w:color="auto"/>
            </w:tcBorders>
            <w:shd w:val="clear" w:color="auto" w:fill="auto"/>
            <w:vAlign w:val="center"/>
            <w:hideMark/>
          </w:tcPr>
          <w:p w14:paraId="21110EEB" w14:textId="6CCD1421" w:rsidR="00DB26A9" w:rsidRPr="00DB26A9" w:rsidRDefault="00DB26A9" w:rsidP="00DB26A9">
            <w:pPr>
              <w:rPr>
                <w:rFonts w:eastAsia="Times New Roman"/>
                <w:sz w:val="22"/>
                <w:szCs w:val="22"/>
              </w:rPr>
            </w:pPr>
            <w:r w:rsidRPr="00DB26A9">
              <w:rPr>
                <w:rFonts w:eastAsia="Times New Roman"/>
                <w:sz w:val="22"/>
                <w:szCs w:val="22"/>
              </w:rPr>
              <w:t>Weighted average allowed amount for primary care physicians (PCPs)</w:t>
            </w:r>
            <w:r w:rsidR="0054311C">
              <w:rPr>
                <w:rFonts w:eastAsia="Times New Roman"/>
                <w:sz w:val="22"/>
                <w:szCs w:val="22"/>
              </w:rPr>
              <w:t xml:space="preserve"> </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14:paraId="267616F4" w14:textId="77777777" w:rsidR="00DB26A9" w:rsidRPr="00DB26A9" w:rsidRDefault="00DB26A9" w:rsidP="00DB26A9">
            <w:pPr>
              <w:rPr>
                <w:rFonts w:eastAsia="Times New Roman"/>
                <w:sz w:val="22"/>
                <w:szCs w:val="22"/>
              </w:rPr>
            </w:pPr>
            <w:r w:rsidRPr="00DB26A9">
              <w:rPr>
                <w:rFonts w:eastAsia="Times New Roman"/>
                <w:sz w:val="22"/>
                <w:szCs w:val="22"/>
              </w:rPr>
              <w:t>$</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14:paraId="1B5B505B" w14:textId="77777777" w:rsidR="00DB26A9" w:rsidRPr="00DB26A9" w:rsidRDefault="00DB26A9" w:rsidP="00DB26A9">
            <w:pPr>
              <w:rPr>
                <w:rFonts w:eastAsia="Times New Roman"/>
                <w:sz w:val="22"/>
                <w:szCs w:val="22"/>
              </w:rPr>
            </w:pPr>
            <w:r w:rsidRPr="00DB26A9">
              <w:rPr>
                <w:rFonts w:eastAsia="Times New Roman"/>
                <w:sz w:val="22"/>
                <w:szCs w:val="22"/>
              </w:rPr>
              <w:t>$</w:t>
            </w:r>
          </w:p>
        </w:tc>
      </w:tr>
      <w:tr w:rsidR="00DB26A9" w:rsidRPr="00DB26A9" w14:paraId="74FE4E4D" w14:textId="77777777" w:rsidTr="00C83751">
        <w:trPr>
          <w:trHeight w:val="620"/>
        </w:trPr>
        <w:tc>
          <w:tcPr>
            <w:tcW w:w="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33A7" w14:textId="58F71F6F" w:rsidR="00DB26A9" w:rsidRPr="00DB26A9" w:rsidRDefault="00DB26A9" w:rsidP="0054311C">
            <w:pPr>
              <w:jc w:val="center"/>
              <w:rPr>
                <w:rFonts w:eastAsia="Times New Roman"/>
                <w:sz w:val="22"/>
                <w:szCs w:val="22"/>
              </w:rPr>
            </w:pPr>
            <w:r w:rsidRPr="00DB26A9">
              <w:rPr>
                <w:rFonts w:eastAsia="Times New Roman"/>
                <w:sz w:val="22"/>
                <w:szCs w:val="22"/>
              </w:rPr>
              <w:t>2</w:t>
            </w:r>
          </w:p>
        </w:tc>
        <w:tc>
          <w:tcPr>
            <w:tcW w:w="5305" w:type="dxa"/>
            <w:gridSpan w:val="4"/>
            <w:tcBorders>
              <w:top w:val="single" w:sz="4" w:space="0" w:color="auto"/>
              <w:left w:val="nil"/>
              <w:bottom w:val="single" w:sz="4" w:space="0" w:color="auto"/>
              <w:right w:val="single" w:sz="4" w:space="0" w:color="auto"/>
            </w:tcBorders>
            <w:shd w:val="clear" w:color="auto" w:fill="auto"/>
            <w:vAlign w:val="center"/>
            <w:hideMark/>
          </w:tcPr>
          <w:p w14:paraId="03FA7CB7" w14:textId="77777777" w:rsidR="00DB26A9" w:rsidRPr="00DB26A9" w:rsidRDefault="00DB26A9" w:rsidP="00DB26A9">
            <w:pPr>
              <w:rPr>
                <w:rFonts w:eastAsia="Times New Roman"/>
                <w:sz w:val="22"/>
                <w:szCs w:val="22"/>
              </w:rPr>
            </w:pPr>
            <w:r w:rsidRPr="00DB26A9">
              <w:rPr>
                <w:rFonts w:eastAsia="Times New Roman"/>
                <w:sz w:val="22"/>
                <w:szCs w:val="22"/>
              </w:rPr>
              <w:t>Weighted average allowed amount for non-PCP, non-psychiatrist M/S specialist physicians</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14:paraId="3B8F3373" w14:textId="77777777" w:rsidR="00DB26A9" w:rsidRPr="00DB26A9" w:rsidRDefault="00DB26A9" w:rsidP="00DB26A9">
            <w:pPr>
              <w:rPr>
                <w:rFonts w:eastAsia="Times New Roman"/>
                <w:sz w:val="22"/>
                <w:szCs w:val="22"/>
              </w:rPr>
            </w:pPr>
            <w:r w:rsidRPr="00DB26A9">
              <w:rPr>
                <w:rFonts w:eastAsia="Times New Roman"/>
                <w:sz w:val="22"/>
                <w:szCs w:val="22"/>
              </w:rPr>
              <w:t>$</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14:paraId="7FB59ABD" w14:textId="77777777" w:rsidR="00DB26A9" w:rsidRPr="00DB26A9" w:rsidRDefault="00DB26A9" w:rsidP="00DB26A9">
            <w:pPr>
              <w:rPr>
                <w:rFonts w:eastAsia="Times New Roman"/>
                <w:sz w:val="22"/>
                <w:szCs w:val="22"/>
              </w:rPr>
            </w:pPr>
            <w:r w:rsidRPr="00DB26A9">
              <w:rPr>
                <w:rFonts w:eastAsia="Times New Roman"/>
                <w:sz w:val="22"/>
                <w:szCs w:val="22"/>
              </w:rPr>
              <w:t>$</w:t>
            </w:r>
          </w:p>
        </w:tc>
      </w:tr>
      <w:tr w:rsidR="00DB26A9" w:rsidRPr="00DB26A9" w14:paraId="7ECC1775" w14:textId="77777777" w:rsidTr="00C83751">
        <w:trPr>
          <w:trHeight w:val="710"/>
        </w:trPr>
        <w:tc>
          <w:tcPr>
            <w:tcW w:w="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ED3BC" w14:textId="1B7DB965" w:rsidR="00DB26A9" w:rsidRPr="00DB26A9" w:rsidRDefault="00DB26A9" w:rsidP="0054311C">
            <w:pPr>
              <w:jc w:val="center"/>
              <w:rPr>
                <w:rFonts w:eastAsia="Times New Roman"/>
                <w:sz w:val="22"/>
                <w:szCs w:val="22"/>
              </w:rPr>
            </w:pPr>
            <w:r w:rsidRPr="00DB26A9">
              <w:rPr>
                <w:rFonts w:eastAsia="Times New Roman"/>
                <w:sz w:val="22"/>
                <w:szCs w:val="22"/>
              </w:rPr>
              <w:t>3</w:t>
            </w:r>
          </w:p>
        </w:tc>
        <w:tc>
          <w:tcPr>
            <w:tcW w:w="5305" w:type="dxa"/>
            <w:gridSpan w:val="4"/>
            <w:tcBorders>
              <w:top w:val="single" w:sz="4" w:space="0" w:color="auto"/>
              <w:left w:val="nil"/>
              <w:bottom w:val="single" w:sz="4" w:space="0" w:color="auto"/>
              <w:right w:val="single" w:sz="4" w:space="0" w:color="auto"/>
            </w:tcBorders>
            <w:shd w:val="clear" w:color="auto" w:fill="auto"/>
            <w:vAlign w:val="center"/>
            <w:hideMark/>
          </w:tcPr>
          <w:p w14:paraId="62DDC590" w14:textId="77777777" w:rsidR="00DB26A9" w:rsidRPr="00DB26A9" w:rsidRDefault="00DB26A9" w:rsidP="00DB26A9">
            <w:pPr>
              <w:rPr>
                <w:rFonts w:eastAsia="Times New Roman"/>
                <w:sz w:val="22"/>
                <w:szCs w:val="22"/>
              </w:rPr>
            </w:pPr>
            <w:r w:rsidRPr="00DB26A9">
              <w:rPr>
                <w:rFonts w:eastAsia="Times New Roman"/>
                <w:sz w:val="22"/>
                <w:szCs w:val="22"/>
              </w:rPr>
              <w:t>Weighted average allowed amount for PCPs and non-psychiatrist M/S specialist physicians (combined)</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14:paraId="70F0FF39" w14:textId="77777777" w:rsidR="00DB26A9" w:rsidRPr="00DB26A9" w:rsidRDefault="00DB26A9" w:rsidP="00DB26A9">
            <w:pPr>
              <w:rPr>
                <w:rFonts w:eastAsia="Times New Roman"/>
                <w:sz w:val="22"/>
                <w:szCs w:val="22"/>
              </w:rPr>
            </w:pPr>
            <w:r w:rsidRPr="00DB26A9">
              <w:rPr>
                <w:rFonts w:eastAsia="Times New Roman"/>
                <w:sz w:val="22"/>
                <w:szCs w:val="22"/>
              </w:rPr>
              <w:t>$</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14:paraId="687C2CB5" w14:textId="77777777" w:rsidR="00DB26A9" w:rsidRPr="00DB26A9" w:rsidRDefault="00DB26A9" w:rsidP="00DB26A9">
            <w:pPr>
              <w:rPr>
                <w:rFonts w:eastAsia="Times New Roman"/>
                <w:sz w:val="22"/>
                <w:szCs w:val="22"/>
              </w:rPr>
            </w:pPr>
            <w:r w:rsidRPr="00DB26A9">
              <w:rPr>
                <w:rFonts w:eastAsia="Times New Roman"/>
                <w:sz w:val="22"/>
                <w:szCs w:val="22"/>
              </w:rPr>
              <w:t>$</w:t>
            </w:r>
          </w:p>
        </w:tc>
      </w:tr>
      <w:tr w:rsidR="00DB26A9" w:rsidRPr="00DB26A9" w14:paraId="57471EBB" w14:textId="77777777" w:rsidTr="00C83751">
        <w:trPr>
          <w:trHeight w:val="714"/>
        </w:trPr>
        <w:tc>
          <w:tcPr>
            <w:tcW w:w="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DF6F" w14:textId="413E29E3" w:rsidR="00DB26A9" w:rsidRPr="00DB26A9" w:rsidRDefault="00DB26A9" w:rsidP="0054311C">
            <w:pPr>
              <w:jc w:val="center"/>
              <w:rPr>
                <w:rFonts w:eastAsia="Times New Roman"/>
                <w:sz w:val="22"/>
                <w:szCs w:val="22"/>
              </w:rPr>
            </w:pPr>
            <w:r w:rsidRPr="00DB26A9">
              <w:rPr>
                <w:rFonts w:eastAsia="Times New Roman"/>
                <w:sz w:val="22"/>
                <w:szCs w:val="22"/>
              </w:rPr>
              <w:t>4</w:t>
            </w:r>
          </w:p>
        </w:tc>
        <w:tc>
          <w:tcPr>
            <w:tcW w:w="5305" w:type="dxa"/>
            <w:gridSpan w:val="4"/>
            <w:tcBorders>
              <w:top w:val="single" w:sz="4" w:space="0" w:color="auto"/>
              <w:left w:val="nil"/>
              <w:bottom w:val="single" w:sz="4" w:space="0" w:color="auto"/>
              <w:right w:val="single" w:sz="4" w:space="0" w:color="auto"/>
            </w:tcBorders>
            <w:shd w:val="clear" w:color="auto" w:fill="auto"/>
            <w:vAlign w:val="center"/>
            <w:hideMark/>
          </w:tcPr>
          <w:p w14:paraId="61048FF2" w14:textId="77777777" w:rsidR="00DB26A9" w:rsidRPr="00DB26A9" w:rsidRDefault="00DB26A9" w:rsidP="00DB26A9">
            <w:pPr>
              <w:rPr>
                <w:rFonts w:eastAsia="Times New Roman"/>
                <w:sz w:val="22"/>
                <w:szCs w:val="22"/>
              </w:rPr>
            </w:pPr>
            <w:r w:rsidRPr="00DB26A9">
              <w:rPr>
                <w:rFonts w:eastAsia="Times New Roman"/>
                <w:sz w:val="22"/>
                <w:szCs w:val="22"/>
              </w:rPr>
              <w:t>Weighted average allowed amount for psychiatrists, including child psychiatrists</w:t>
            </w:r>
          </w:p>
        </w:tc>
        <w:tc>
          <w:tcPr>
            <w:tcW w:w="1643" w:type="dxa"/>
            <w:gridSpan w:val="2"/>
            <w:tcBorders>
              <w:top w:val="single" w:sz="4" w:space="0" w:color="auto"/>
              <w:left w:val="nil"/>
              <w:bottom w:val="single" w:sz="4" w:space="0" w:color="auto"/>
              <w:right w:val="single" w:sz="4" w:space="0" w:color="auto"/>
            </w:tcBorders>
            <w:shd w:val="clear" w:color="auto" w:fill="auto"/>
            <w:vAlign w:val="center"/>
            <w:hideMark/>
          </w:tcPr>
          <w:p w14:paraId="0713230A" w14:textId="77777777" w:rsidR="00DB26A9" w:rsidRPr="00DB26A9" w:rsidRDefault="00DB26A9" w:rsidP="00DB26A9">
            <w:pPr>
              <w:rPr>
                <w:rFonts w:eastAsia="Times New Roman"/>
                <w:sz w:val="22"/>
                <w:szCs w:val="22"/>
              </w:rPr>
            </w:pPr>
            <w:r w:rsidRPr="00DB26A9">
              <w:rPr>
                <w:rFonts w:eastAsia="Times New Roman"/>
                <w:sz w:val="22"/>
                <w:szCs w:val="22"/>
              </w:rPr>
              <w:t>$</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14:paraId="0433EE3C" w14:textId="77777777" w:rsidR="00DB26A9" w:rsidRPr="00DB26A9" w:rsidRDefault="00DB26A9" w:rsidP="00DB26A9">
            <w:pPr>
              <w:rPr>
                <w:rFonts w:eastAsia="Times New Roman"/>
                <w:sz w:val="22"/>
                <w:szCs w:val="22"/>
              </w:rPr>
            </w:pPr>
            <w:r w:rsidRPr="00DB26A9">
              <w:rPr>
                <w:rFonts w:eastAsia="Times New Roman"/>
                <w:sz w:val="22"/>
                <w:szCs w:val="22"/>
              </w:rPr>
              <w:t>$</w:t>
            </w:r>
          </w:p>
        </w:tc>
      </w:tr>
      <w:tr w:rsidR="00DB26A9" w:rsidRPr="00DB26A9" w14:paraId="2522AD38" w14:textId="77777777" w:rsidTr="00C83751">
        <w:trPr>
          <w:trHeight w:val="1430"/>
        </w:trPr>
        <w:tc>
          <w:tcPr>
            <w:tcW w:w="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2C8D8" w14:textId="08D9CD46" w:rsidR="00DB26A9" w:rsidRPr="00DB26A9" w:rsidRDefault="00DB26A9" w:rsidP="0054311C">
            <w:pPr>
              <w:jc w:val="center"/>
              <w:rPr>
                <w:rFonts w:eastAsia="Times New Roman"/>
                <w:sz w:val="22"/>
                <w:szCs w:val="22"/>
              </w:rPr>
            </w:pPr>
            <w:r w:rsidRPr="00DB26A9">
              <w:rPr>
                <w:rFonts w:eastAsia="Times New Roman"/>
                <w:sz w:val="22"/>
                <w:szCs w:val="22"/>
              </w:rPr>
              <w:t>5</w:t>
            </w:r>
          </w:p>
        </w:tc>
        <w:tc>
          <w:tcPr>
            <w:tcW w:w="5305" w:type="dxa"/>
            <w:gridSpan w:val="4"/>
            <w:tcBorders>
              <w:top w:val="single" w:sz="4" w:space="0" w:color="auto"/>
              <w:left w:val="nil"/>
              <w:bottom w:val="single" w:sz="4" w:space="0" w:color="auto"/>
              <w:right w:val="single" w:sz="4" w:space="0" w:color="auto"/>
            </w:tcBorders>
            <w:shd w:val="clear" w:color="000000" w:fill="FFFFFF"/>
            <w:vAlign w:val="center"/>
            <w:hideMark/>
          </w:tcPr>
          <w:p w14:paraId="748FE94C" w14:textId="3B5C1FBC" w:rsidR="00DB26A9" w:rsidRPr="00DB26A9" w:rsidRDefault="00DB26A9" w:rsidP="00CE610F">
            <w:pPr>
              <w:rPr>
                <w:rFonts w:eastAsia="Times New Roman"/>
                <w:sz w:val="22"/>
                <w:szCs w:val="22"/>
              </w:rPr>
            </w:pPr>
            <w:r w:rsidRPr="00DB26A9">
              <w:rPr>
                <w:rFonts w:eastAsia="Times New Roman"/>
                <w:sz w:val="22"/>
                <w:szCs w:val="22"/>
              </w:rPr>
              <w:t xml:space="preserve">Percentage </w:t>
            </w:r>
            <w:r w:rsidRPr="00DB26A9">
              <w:rPr>
                <w:rFonts w:eastAsia="Times New Roman"/>
                <w:sz w:val="22"/>
                <w:szCs w:val="22"/>
                <w:u w:val="single"/>
              </w:rPr>
              <w:t>higher</w:t>
            </w:r>
            <w:r w:rsidRPr="00DB26A9">
              <w:rPr>
                <w:rFonts w:eastAsia="Times New Roman"/>
                <w:sz w:val="22"/>
                <w:szCs w:val="22"/>
              </w:rPr>
              <w:t xml:space="preserve"> in-network reimbursement for PCPs and other M/S physicians </w:t>
            </w:r>
            <w:r w:rsidRPr="00DB26A9">
              <w:rPr>
                <w:rFonts w:eastAsia="Times New Roman"/>
                <w:sz w:val="22"/>
                <w:szCs w:val="22"/>
                <w:u w:val="single"/>
              </w:rPr>
              <w:t>compared to</w:t>
            </w:r>
            <w:r w:rsidRPr="00DB26A9">
              <w:rPr>
                <w:rFonts w:eastAsia="Times New Roman"/>
                <w:sz w:val="22"/>
                <w:szCs w:val="22"/>
              </w:rPr>
              <w:t xml:space="preserve"> psychiatrists (i.e., ((Row 3/Row 4) - 1) x 100. If this calculation results in zero or a negative number, there was no "higher in-network reimbursement".)</w:t>
            </w:r>
          </w:p>
        </w:tc>
        <w:tc>
          <w:tcPr>
            <w:tcW w:w="1643" w:type="dxa"/>
            <w:gridSpan w:val="2"/>
            <w:tcBorders>
              <w:top w:val="single" w:sz="4" w:space="0" w:color="auto"/>
              <w:left w:val="nil"/>
              <w:bottom w:val="single" w:sz="4" w:space="0" w:color="auto"/>
              <w:right w:val="single" w:sz="4" w:space="0" w:color="auto"/>
            </w:tcBorders>
            <w:shd w:val="clear" w:color="auto" w:fill="FFFF99"/>
            <w:vAlign w:val="center"/>
            <w:hideMark/>
          </w:tcPr>
          <w:p w14:paraId="4FF5F8DA"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c>
          <w:tcPr>
            <w:tcW w:w="1737" w:type="dxa"/>
            <w:gridSpan w:val="2"/>
            <w:tcBorders>
              <w:top w:val="single" w:sz="4" w:space="0" w:color="auto"/>
              <w:left w:val="nil"/>
              <w:bottom w:val="single" w:sz="4" w:space="0" w:color="auto"/>
              <w:right w:val="single" w:sz="4" w:space="0" w:color="auto"/>
            </w:tcBorders>
            <w:shd w:val="clear" w:color="auto" w:fill="FFFF99"/>
            <w:vAlign w:val="center"/>
            <w:hideMark/>
          </w:tcPr>
          <w:p w14:paraId="2A58A0EF"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r>
      <w:tr w:rsidR="00DB26A9" w:rsidRPr="00DB26A9" w14:paraId="6D137802" w14:textId="77777777" w:rsidTr="00C83751">
        <w:trPr>
          <w:trHeight w:val="6722"/>
        </w:trPr>
        <w:tc>
          <w:tcPr>
            <w:tcW w:w="9027" w:type="dxa"/>
            <w:gridSpan w:val="9"/>
            <w:tcBorders>
              <w:top w:val="nil"/>
              <w:left w:val="nil"/>
              <w:bottom w:val="nil"/>
              <w:right w:val="nil"/>
            </w:tcBorders>
            <w:shd w:val="clear" w:color="auto" w:fill="auto"/>
            <w:vAlign w:val="center"/>
            <w:hideMark/>
          </w:tcPr>
          <w:p w14:paraId="59C63C17" w14:textId="30725CE0" w:rsidR="00DB26A9" w:rsidRDefault="003E246D" w:rsidP="00DB26A9">
            <w:pPr>
              <w:rPr>
                <w:rFonts w:eastAsia="Times New Roman"/>
                <w:sz w:val="22"/>
                <w:szCs w:val="22"/>
              </w:rPr>
            </w:pPr>
            <w:r>
              <w:rPr>
                <w:rFonts w:eastAsia="Times New Roman"/>
                <w:b/>
                <w:bCs/>
                <w:sz w:val="22"/>
                <w:szCs w:val="22"/>
                <w:u w:val="single"/>
              </w:rPr>
              <w:lastRenderedPageBreak/>
              <w:t xml:space="preserve">B. </w:t>
            </w:r>
            <w:r w:rsidR="00C83751">
              <w:rPr>
                <w:rFonts w:eastAsia="Times New Roman"/>
                <w:b/>
                <w:bCs/>
                <w:sz w:val="22"/>
                <w:szCs w:val="22"/>
                <w:u w:val="single"/>
              </w:rPr>
              <w:t>M/S Physicians vs. Psychologists, CSWs Indexed to Medicare f</w:t>
            </w:r>
            <w:r w:rsidR="00DB26A9" w:rsidRPr="00DB26A9">
              <w:rPr>
                <w:rFonts w:eastAsia="Times New Roman"/>
                <w:b/>
                <w:bCs/>
                <w:sz w:val="22"/>
                <w:szCs w:val="22"/>
                <w:u w:val="single"/>
              </w:rPr>
              <w:t>or In-Network provider office visits</w:t>
            </w:r>
            <w:r w:rsidR="00DB26A9" w:rsidRPr="00DB26A9">
              <w:rPr>
                <w:rFonts w:eastAsia="Times New Roman"/>
                <w:sz w:val="22"/>
                <w:szCs w:val="22"/>
              </w:rPr>
              <w:t xml:space="preserve">, for the CPT codes provided in the </w:t>
            </w:r>
            <w:r w:rsidR="00CA411D">
              <w:rPr>
                <w:rFonts w:eastAsia="Times New Roman"/>
                <w:sz w:val="22"/>
                <w:szCs w:val="22"/>
              </w:rPr>
              <w:t>T</w:t>
            </w:r>
            <w:r w:rsidR="00DB26A9" w:rsidRPr="00DB26A9">
              <w:rPr>
                <w:rFonts w:eastAsia="Times New Roman"/>
                <w:sz w:val="22"/>
                <w:szCs w:val="22"/>
              </w:rPr>
              <w:t>ables</w:t>
            </w:r>
            <w:r w:rsidR="00CA411D">
              <w:rPr>
                <w:rFonts w:eastAsia="Times New Roman"/>
                <w:sz w:val="22"/>
                <w:szCs w:val="22"/>
              </w:rPr>
              <w:t xml:space="preserve"> B(1) and (2)</w:t>
            </w:r>
            <w:r w:rsidR="00DB26A9" w:rsidRPr="00DB26A9">
              <w:rPr>
                <w:rFonts w:eastAsia="Times New Roman"/>
                <w:sz w:val="22"/>
                <w:szCs w:val="22"/>
              </w:rPr>
              <w:t xml:space="preserve"> below, provide the </w:t>
            </w:r>
            <w:r w:rsidR="00DB26A9" w:rsidRPr="00DB26A9">
              <w:rPr>
                <w:rFonts w:eastAsia="Times New Roman"/>
                <w:sz w:val="22"/>
                <w:szCs w:val="22"/>
                <w:u w:val="single"/>
              </w:rPr>
              <w:t>weighted average allowed amounts</w:t>
            </w:r>
            <w:r w:rsidR="00DB26A9" w:rsidRPr="00DB26A9">
              <w:rPr>
                <w:rFonts w:eastAsia="Times New Roman"/>
                <w:sz w:val="22"/>
                <w:szCs w:val="22"/>
              </w:rPr>
              <w:t xml:space="preserve"> for the following groups of providers:</w:t>
            </w:r>
            <w:r w:rsidR="00DB26A9" w:rsidRPr="00DB26A9">
              <w:rPr>
                <w:rFonts w:eastAsia="Times New Roman"/>
                <w:sz w:val="22"/>
                <w:szCs w:val="22"/>
              </w:rPr>
              <w:br/>
            </w:r>
            <w:r w:rsidR="00DB26A9" w:rsidRPr="00DB26A9">
              <w:rPr>
                <w:rFonts w:eastAsia="Times New Roman"/>
                <w:sz w:val="22"/>
                <w:szCs w:val="22"/>
              </w:rPr>
              <w:br/>
              <w:t xml:space="preserve">• </w:t>
            </w:r>
            <w:r w:rsidR="00DB26A9" w:rsidRPr="00DB26A9">
              <w:rPr>
                <w:rFonts w:eastAsia="Times New Roman"/>
                <w:i/>
                <w:iCs/>
                <w:sz w:val="22"/>
                <w:szCs w:val="22"/>
                <w:u w:val="single"/>
              </w:rPr>
              <w:t>Primary Care Physicians</w:t>
            </w:r>
            <w:r w:rsidR="00DB26A9" w:rsidRPr="00DB26A9">
              <w:rPr>
                <w:rFonts w:eastAsia="Times New Roman"/>
                <w:sz w:val="22"/>
                <w:szCs w:val="22"/>
              </w:rPr>
              <w:t xml:space="preserve">, “PCPs”, defined as general practice, family practice, internal medicine, and pediatric medicine physicians. </w:t>
            </w:r>
            <w:r w:rsidR="00DB26A9" w:rsidRPr="00DB26A9">
              <w:rPr>
                <w:rFonts w:eastAsia="Times New Roman"/>
                <w:sz w:val="22"/>
                <w:szCs w:val="22"/>
              </w:rPr>
              <w:br/>
              <w:t xml:space="preserve">• </w:t>
            </w:r>
            <w:r w:rsidR="00DB26A9" w:rsidRPr="00DB26A9">
              <w:rPr>
                <w:rFonts w:eastAsia="Times New Roman"/>
                <w:i/>
                <w:iCs/>
                <w:sz w:val="22"/>
                <w:szCs w:val="22"/>
                <w:u w:val="single"/>
              </w:rPr>
              <w:t>Non-psychiatrist Medical/Surgical Specialist Physicians</w:t>
            </w:r>
            <w:r w:rsidR="00DB26A9" w:rsidRPr="00DB26A9">
              <w:rPr>
                <w:rFonts w:eastAsia="Times New Roman"/>
                <w:sz w:val="22"/>
                <w:szCs w:val="22"/>
              </w:rPr>
              <w:t xml:space="preserve">, defined to include non-psychiatrist specialty physicians, such as orthopedic surgeons, dermatologists, neurologists, etc. This category excludes PCPs.   </w:t>
            </w:r>
            <w:r w:rsidR="00DB26A9" w:rsidRPr="00DB26A9">
              <w:rPr>
                <w:rFonts w:eastAsia="Times New Roman"/>
                <w:sz w:val="22"/>
                <w:szCs w:val="22"/>
              </w:rPr>
              <w:br/>
              <w:t xml:space="preserve">• </w:t>
            </w:r>
            <w:r w:rsidR="00DB26A9" w:rsidRPr="00DB26A9">
              <w:rPr>
                <w:rFonts w:eastAsia="Times New Roman"/>
                <w:i/>
                <w:iCs/>
                <w:sz w:val="22"/>
                <w:szCs w:val="22"/>
                <w:u w:val="single"/>
              </w:rPr>
              <w:t>Psychiatrists</w:t>
            </w:r>
            <w:r w:rsidR="00DB26A9" w:rsidRPr="00DB26A9">
              <w:rPr>
                <w:rFonts w:eastAsia="Times New Roman"/>
                <w:sz w:val="22"/>
                <w:szCs w:val="22"/>
              </w:rPr>
              <w:t xml:space="preserve">, including child psychiatrists. </w:t>
            </w:r>
            <w:r w:rsidR="00DB26A9" w:rsidRPr="00DB26A9">
              <w:rPr>
                <w:rFonts w:eastAsia="Times New Roman"/>
                <w:sz w:val="22"/>
                <w:szCs w:val="22"/>
              </w:rPr>
              <w:br/>
              <w:t xml:space="preserve">• </w:t>
            </w:r>
            <w:r w:rsidR="00DB26A9" w:rsidRPr="00DB26A9">
              <w:rPr>
                <w:rFonts w:eastAsia="Times New Roman"/>
                <w:i/>
                <w:iCs/>
                <w:sz w:val="22"/>
                <w:szCs w:val="22"/>
                <w:u w:val="single"/>
              </w:rPr>
              <w:t>Non-psychiatrist Behavioral Health ("BH") Professionals</w:t>
            </w:r>
            <w:r w:rsidR="00DB26A9" w:rsidRPr="00DB26A9">
              <w:rPr>
                <w:rFonts w:eastAsia="Times New Roman"/>
                <w:sz w:val="22"/>
                <w:szCs w:val="22"/>
              </w:rPr>
              <w:t>, defined as psychologists and clinical social workers.</w:t>
            </w:r>
            <w:r w:rsidR="00DB26A9" w:rsidRPr="00DB26A9">
              <w:rPr>
                <w:rFonts w:eastAsia="Times New Roman"/>
                <w:sz w:val="22"/>
                <w:szCs w:val="22"/>
              </w:rPr>
              <w:br/>
            </w:r>
            <w:r w:rsidR="00B5624E" w:rsidRPr="00B5624E">
              <w:rPr>
                <w:rFonts w:eastAsia="Times New Roman"/>
                <w:i/>
                <w:iCs/>
                <w:sz w:val="22"/>
                <w:szCs w:val="22"/>
              </w:rPr>
              <w:t xml:space="preserve">• </w:t>
            </w:r>
            <w:r w:rsidR="00DB26A9" w:rsidRPr="00DB26A9">
              <w:rPr>
                <w:rFonts w:eastAsia="Times New Roman"/>
                <w:i/>
                <w:iCs/>
                <w:sz w:val="22"/>
                <w:szCs w:val="22"/>
                <w:u w:val="single"/>
              </w:rPr>
              <w:t>Weighted average allowed amounts</w:t>
            </w:r>
            <w:r w:rsidR="00DB26A9" w:rsidRPr="00DB26A9">
              <w:rPr>
                <w:rFonts w:eastAsia="Times New Roman"/>
                <w:sz w:val="22"/>
                <w:szCs w:val="22"/>
              </w:rPr>
              <w:t xml:space="preserve"> is defined as weighting allowed amounts by the proportion of claims allowed at each allowed amount level. This </w:t>
            </w:r>
            <w:r w:rsidR="009D39E8">
              <w:rPr>
                <w:rFonts w:eastAsia="Times New Roman"/>
                <w:sz w:val="22"/>
                <w:szCs w:val="22"/>
              </w:rPr>
              <w:t xml:space="preserve">calculation </w:t>
            </w:r>
            <w:r w:rsidR="00DB26A9" w:rsidRPr="00DB26A9">
              <w:rPr>
                <w:rFonts w:eastAsia="Times New Roman"/>
                <w:sz w:val="22"/>
                <w:szCs w:val="22"/>
              </w:rPr>
              <w:t>provide</w:t>
            </w:r>
            <w:r w:rsidR="009D39E8">
              <w:rPr>
                <w:rFonts w:eastAsia="Times New Roman"/>
                <w:sz w:val="22"/>
                <w:szCs w:val="22"/>
              </w:rPr>
              <w:t>s</w:t>
            </w:r>
            <w:r w:rsidR="00DB26A9" w:rsidRPr="00DB26A9">
              <w:rPr>
                <w:rFonts w:eastAsia="Times New Roman"/>
                <w:sz w:val="22"/>
                <w:szCs w:val="22"/>
              </w:rPr>
              <w:t xml:space="preserve"> the same result as calculating the sum </w:t>
            </w:r>
            <w:r w:rsidR="009D39E8">
              <w:rPr>
                <w:rFonts w:eastAsia="Times New Roman"/>
                <w:sz w:val="22"/>
                <w:szCs w:val="22"/>
              </w:rPr>
              <w:t xml:space="preserve">($) </w:t>
            </w:r>
            <w:r w:rsidR="00DB26A9" w:rsidRPr="00DB26A9">
              <w:rPr>
                <w:rFonts w:eastAsia="Times New Roman"/>
                <w:sz w:val="22"/>
                <w:szCs w:val="22"/>
              </w:rPr>
              <w:t>of the allowed amounts</w:t>
            </w:r>
            <w:r w:rsidR="009D39E8">
              <w:rPr>
                <w:rFonts w:eastAsia="Times New Roman"/>
                <w:sz w:val="22"/>
                <w:szCs w:val="22"/>
              </w:rPr>
              <w:t xml:space="preserve"> </w:t>
            </w:r>
            <w:r w:rsidR="00DB26A9" w:rsidRPr="00DB26A9">
              <w:rPr>
                <w:rFonts w:eastAsia="Times New Roman"/>
                <w:sz w:val="22"/>
                <w:szCs w:val="22"/>
              </w:rPr>
              <w:t>for every claim that was allowed for these providers, and dividing that sum</w:t>
            </w:r>
            <w:r w:rsidR="009D39E8">
              <w:rPr>
                <w:rFonts w:eastAsia="Times New Roman"/>
                <w:sz w:val="22"/>
                <w:szCs w:val="22"/>
              </w:rPr>
              <w:t xml:space="preserve"> ($) </w:t>
            </w:r>
            <w:r w:rsidR="00DB26A9" w:rsidRPr="00DB26A9">
              <w:rPr>
                <w:rFonts w:eastAsia="Times New Roman"/>
                <w:sz w:val="22"/>
                <w:szCs w:val="22"/>
              </w:rPr>
              <w:t>by the total number of claims allowed for such providers.</w:t>
            </w:r>
          </w:p>
          <w:p w14:paraId="7A5238A1" w14:textId="77777777" w:rsidR="00DB26A9" w:rsidRDefault="00DB26A9" w:rsidP="00DB26A9">
            <w:pPr>
              <w:rPr>
                <w:rFonts w:eastAsia="Times New Roman"/>
                <w:sz w:val="22"/>
                <w:szCs w:val="22"/>
              </w:rPr>
            </w:pPr>
            <w:bookmarkStart w:id="0" w:name="_GoBack"/>
            <w:bookmarkEnd w:id="0"/>
          </w:p>
          <w:p w14:paraId="2A0A6D65" w14:textId="15DE00D1" w:rsidR="00DB26A9" w:rsidRPr="00DB26A9" w:rsidRDefault="00DB26A9" w:rsidP="0043668D">
            <w:pPr>
              <w:rPr>
                <w:rFonts w:eastAsia="Times New Roman"/>
                <w:sz w:val="22"/>
                <w:szCs w:val="22"/>
              </w:rPr>
            </w:pPr>
            <w:r w:rsidRPr="00DB26A9">
              <w:rPr>
                <w:rFonts w:eastAsia="Times New Roman"/>
                <w:sz w:val="22"/>
                <w:szCs w:val="22"/>
              </w:rPr>
              <w:t>There is only one National Medicare Physician Fee Schedule allowed amount for all providers participating in Medicare for the following four (4) CPT codes for which data is requested: 99213, 99214, 90834 and 90837. The Medicare fee schedule allowed amounts for non-facility based services for 2020 are inserted into the tables and can be verified by following the instructions in footnote below*. Provider locality adjustments have not been taken into account for regional markets, as the testing herein is comparative (i.e., indexed to Medicare rates), rather than absolute, and will thus yield useful allowed amount comparative information irrespective of region.</w:t>
            </w:r>
          </w:p>
        </w:tc>
      </w:tr>
      <w:tr w:rsidR="00DB26A9" w:rsidRPr="00DB26A9" w14:paraId="565E9238" w14:textId="77777777" w:rsidTr="00C83751">
        <w:trPr>
          <w:trHeight w:val="1178"/>
        </w:trPr>
        <w:tc>
          <w:tcPr>
            <w:tcW w:w="902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0D3E074" w14:textId="38FF8998" w:rsidR="003E246D" w:rsidRDefault="00DB26A9" w:rsidP="003E246D">
            <w:pPr>
              <w:jc w:val="center"/>
              <w:rPr>
                <w:rFonts w:eastAsia="Times New Roman"/>
                <w:b/>
                <w:bCs/>
                <w:sz w:val="24"/>
                <w:szCs w:val="24"/>
              </w:rPr>
            </w:pPr>
            <w:r w:rsidRPr="00DB26A9">
              <w:rPr>
                <w:rFonts w:eastAsia="Times New Roman"/>
                <w:b/>
                <w:bCs/>
                <w:sz w:val="24"/>
                <w:szCs w:val="24"/>
              </w:rPr>
              <w:t xml:space="preserve">Table </w:t>
            </w:r>
            <w:r w:rsidR="003E246D">
              <w:rPr>
                <w:rFonts w:eastAsia="Times New Roman"/>
                <w:b/>
                <w:bCs/>
                <w:sz w:val="24"/>
                <w:szCs w:val="24"/>
              </w:rPr>
              <w:t>B(1)</w:t>
            </w:r>
            <w:r w:rsidRPr="00DB26A9">
              <w:rPr>
                <w:rFonts w:eastAsia="Times New Roman"/>
                <w:b/>
                <w:bCs/>
                <w:sz w:val="24"/>
                <w:szCs w:val="24"/>
              </w:rPr>
              <w:t xml:space="preserve"> </w:t>
            </w:r>
            <w:r w:rsidR="003E246D">
              <w:rPr>
                <w:rFonts w:eastAsia="Times New Roman"/>
                <w:b/>
                <w:bCs/>
                <w:sz w:val="24"/>
                <w:szCs w:val="24"/>
              </w:rPr>
              <w:t>–</w:t>
            </w:r>
            <w:r w:rsidRPr="00DB26A9">
              <w:rPr>
                <w:rFonts w:eastAsia="Times New Roman"/>
                <w:b/>
                <w:bCs/>
                <w:sz w:val="24"/>
                <w:szCs w:val="24"/>
              </w:rPr>
              <w:br w:type="page"/>
              <w:t>P</w:t>
            </w:r>
            <w:r w:rsidR="003E246D">
              <w:rPr>
                <w:rFonts w:eastAsia="Times New Roman"/>
                <w:b/>
                <w:bCs/>
                <w:sz w:val="24"/>
                <w:szCs w:val="24"/>
              </w:rPr>
              <w:t xml:space="preserve">roduct </w:t>
            </w:r>
            <w:r w:rsidRPr="00DB26A9">
              <w:rPr>
                <w:rFonts w:eastAsia="Times New Roman"/>
                <w:b/>
                <w:bCs/>
                <w:sz w:val="24"/>
                <w:szCs w:val="24"/>
              </w:rPr>
              <w:t>Data for Plan Year</w:t>
            </w:r>
            <w:r w:rsidR="003E246D">
              <w:rPr>
                <w:rFonts w:eastAsia="Times New Roman"/>
                <w:b/>
                <w:bCs/>
                <w:sz w:val="24"/>
                <w:szCs w:val="24"/>
              </w:rPr>
              <w:t xml:space="preserve"> 2020</w:t>
            </w:r>
          </w:p>
          <w:p w14:paraId="58A76652" w14:textId="77777777" w:rsidR="003E246D" w:rsidRDefault="00DB26A9" w:rsidP="003E246D">
            <w:pPr>
              <w:jc w:val="center"/>
              <w:rPr>
                <w:rFonts w:eastAsia="Times New Roman"/>
                <w:b/>
                <w:bCs/>
                <w:sz w:val="24"/>
                <w:szCs w:val="24"/>
              </w:rPr>
            </w:pPr>
            <w:r w:rsidRPr="00DB26A9">
              <w:rPr>
                <w:rFonts w:eastAsia="Times New Roman"/>
                <w:b/>
                <w:bCs/>
                <w:sz w:val="24"/>
                <w:szCs w:val="24"/>
              </w:rPr>
              <w:br w:type="page"/>
              <w:t xml:space="preserve">Medical/Surgical Physicians </w:t>
            </w:r>
            <w:r w:rsidRPr="00DB26A9">
              <w:rPr>
                <w:rFonts w:eastAsia="Times New Roman"/>
                <w:b/>
                <w:bCs/>
                <w:sz w:val="24"/>
                <w:szCs w:val="24"/>
                <w:u w:val="single"/>
              </w:rPr>
              <w:t>compared to</w:t>
            </w:r>
            <w:r w:rsidRPr="00DB26A9">
              <w:rPr>
                <w:rFonts w:eastAsia="Times New Roman"/>
                <w:b/>
                <w:bCs/>
                <w:sz w:val="24"/>
                <w:szCs w:val="24"/>
              </w:rPr>
              <w:t xml:space="preserve"> Psychologists and Clinical Social Workers </w:t>
            </w:r>
            <w:r w:rsidRPr="00DB26A9">
              <w:rPr>
                <w:rFonts w:eastAsia="Times New Roman"/>
                <w:b/>
                <w:bCs/>
                <w:sz w:val="24"/>
                <w:szCs w:val="24"/>
              </w:rPr>
              <w:br w:type="page"/>
            </w:r>
          </w:p>
          <w:p w14:paraId="55CA8BB5" w14:textId="60272445" w:rsidR="00DB26A9" w:rsidRPr="00DB26A9" w:rsidRDefault="00DB26A9" w:rsidP="003E246D">
            <w:pPr>
              <w:jc w:val="center"/>
              <w:rPr>
                <w:rFonts w:eastAsia="Times New Roman"/>
                <w:b/>
                <w:bCs/>
                <w:sz w:val="24"/>
                <w:szCs w:val="24"/>
              </w:rPr>
            </w:pPr>
            <w:r w:rsidRPr="00DB26A9">
              <w:rPr>
                <w:rFonts w:eastAsia="Times New Roman"/>
                <w:b/>
                <w:bCs/>
                <w:sz w:val="24"/>
                <w:szCs w:val="24"/>
              </w:rPr>
              <w:t>for CPT Codes 99213 &amp; 90834, Indexed to National Medicare Fee Schedule</w:t>
            </w:r>
          </w:p>
        </w:tc>
      </w:tr>
      <w:tr w:rsidR="00DB26A9" w:rsidRPr="00DB26A9" w14:paraId="01D7FDA8" w14:textId="77777777" w:rsidTr="007A4815">
        <w:trPr>
          <w:trHeight w:val="288"/>
        </w:trPr>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1C44AA"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82EAD3"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1777BEA"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1FD9A2FE"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Column A</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7B4E9BB9"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Column B</w:t>
            </w:r>
          </w:p>
        </w:tc>
        <w:tc>
          <w:tcPr>
            <w:tcW w:w="1467" w:type="dxa"/>
            <w:tcBorders>
              <w:top w:val="nil"/>
              <w:left w:val="nil"/>
              <w:bottom w:val="single" w:sz="4" w:space="0" w:color="auto"/>
              <w:right w:val="single" w:sz="4" w:space="0" w:color="auto"/>
            </w:tcBorders>
            <w:shd w:val="clear" w:color="auto" w:fill="auto"/>
            <w:noWrap/>
            <w:vAlign w:val="bottom"/>
            <w:hideMark/>
          </w:tcPr>
          <w:p w14:paraId="11B903EB"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Column C</w:t>
            </w:r>
          </w:p>
        </w:tc>
      </w:tr>
      <w:tr w:rsidR="00DB26A9" w:rsidRPr="00DB26A9" w14:paraId="5E2EBDCB" w14:textId="77777777" w:rsidTr="007A4815">
        <w:trPr>
          <w:trHeight w:val="1993"/>
        </w:trPr>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2ABABF"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 </w:t>
            </w:r>
          </w:p>
        </w:tc>
        <w:tc>
          <w:tcPr>
            <w:tcW w:w="2700" w:type="dxa"/>
            <w:tcBorders>
              <w:top w:val="nil"/>
              <w:left w:val="nil"/>
              <w:bottom w:val="single" w:sz="4" w:space="0" w:color="auto"/>
              <w:right w:val="single" w:sz="4" w:space="0" w:color="auto"/>
            </w:tcBorders>
            <w:shd w:val="clear" w:color="auto" w:fill="auto"/>
            <w:vAlign w:val="center"/>
            <w:hideMark/>
          </w:tcPr>
          <w:p w14:paraId="404B0B61"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Provider Type</w:t>
            </w:r>
          </w:p>
        </w:tc>
        <w:tc>
          <w:tcPr>
            <w:tcW w:w="1440" w:type="dxa"/>
            <w:tcBorders>
              <w:top w:val="nil"/>
              <w:left w:val="nil"/>
              <w:bottom w:val="single" w:sz="4" w:space="0" w:color="auto"/>
              <w:right w:val="single" w:sz="4" w:space="0" w:color="auto"/>
            </w:tcBorders>
            <w:shd w:val="clear" w:color="auto" w:fill="auto"/>
            <w:vAlign w:val="center"/>
            <w:hideMark/>
          </w:tcPr>
          <w:p w14:paraId="1A00587D"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CPT Codes</w:t>
            </w:r>
          </w:p>
        </w:tc>
        <w:tc>
          <w:tcPr>
            <w:tcW w:w="1440" w:type="dxa"/>
            <w:gridSpan w:val="2"/>
            <w:tcBorders>
              <w:top w:val="nil"/>
              <w:left w:val="nil"/>
              <w:bottom w:val="single" w:sz="4" w:space="0" w:color="auto"/>
              <w:right w:val="single" w:sz="4" w:space="0" w:color="auto"/>
            </w:tcBorders>
            <w:shd w:val="clear" w:color="auto" w:fill="auto"/>
            <w:vAlign w:val="center"/>
            <w:hideMark/>
          </w:tcPr>
          <w:p w14:paraId="1A4F7B7E"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 xml:space="preserve">Plan Weighted Average Allowed Amount </w:t>
            </w:r>
          </w:p>
        </w:tc>
        <w:tc>
          <w:tcPr>
            <w:tcW w:w="1350" w:type="dxa"/>
            <w:gridSpan w:val="2"/>
            <w:tcBorders>
              <w:top w:val="nil"/>
              <w:left w:val="nil"/>
              <w:bottom w:val="single" w:sz="4" w:space="0" w:color="auto"/>
              <w:right w:val="single" w:sz="4" w:space="0" w:color="auto"/>
            </w:tcBorders>
            <w:shd w:val="clear" w:color="auto" w:fill="auto"/>
            <w:vAlign w:val="center"/>
            <w:hideMark/>
          </w:tcPr>
          <w:p w14:paraId="76416092"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National Medicare Fee Schedule Amount</w:t>
            </w:r>
          </w:p>
        </w:tc>
        <w:tc>
          <w:tcPr>
            <w:tcW w:w="1467" w:type="dxa"/>
            <w:tcBorders>
              <w:top w:val="nil"/>
              <w:left w:val="nil"/>
              <w:bottom w:val="single" w:sz="4" w:space="0" w:color="auto"/>
              <w:right w:val="single" w:sz="4" w:space="0" w:color="auto"/>
            </w:tcBorders>
            <w:shd w:val="clear" w:color="auto" w:fill="auto"/>
            <w:vAlign w:val="center"/>
            <w:hideMark/>
          </w:tcPr>
          <w:p w14:paraId="4522AC09"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Plan Weighted Average Allowed Amount as a Percentage of Medicare</w:t>
            </w:r>
          </w:p>
        </w:tc>
      </w:tr>
      <w:tr w:rsidR="00DB26A9" w:rsidRPr="00DB26A9" w14:paraId="7DD4535E" w14:textId="77777777" w:rsidTr="007A4815">
        <w:trPr>
          <w:trHeight w:val="864"/>
        </w:trPr>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33FD7F" w14:textId="77777777" w:rsidR="00DB26A9" w:rsidRPr="00DB26A9" w:rsidRDefault="00DB26A9" w:rsidP="00DB26A9">
            <w:pPr>
              <w:jc w:val="center"/>
              <w:rPr>
                <w:rFonts w:eastAsia="Times New Roman"/>
                <w:sz w:val="22"/>
                <w:szCs w:val="22"/>
              </w:rPr>
            </w:pPr>
            <w:r w:rsidRPr="00DB26A9">
              <w:rPr>
                <w:rFonts w:eastAsia="Times New Roman"/>
                <w:sz w:val="22"/>
                <w:szCs w:val="22"/>
              </w:rPr>
              <w:t>1</w:t>
            </w:r>
          </w:p>
        </w:tc>
        <w:tc>
          <w:tcPr>
            <w:tcW w:w="2700" w:type="dxa"/>
            <w:tcBorders>
              <w:top w:val="nil"/>
              <w:left w:val="nil"/>
              <w:bottom w:val="single" w:sz="4" w:space="0" w:color="auto"/>
              <w:right w:val="single" w:sz="4" w:space="0" w:color="auto"/>
            </w:tcBorders>
            <w:shd w:val="clear" w:color="auto" w:fill="auto"/>
            <w:vAlign w:val="center"/>
            <w:hideMark/>
          </w:tcPr>
          <w:p w14:paraId="5F90C86D" w14:textId="781F14CA" w:rsidR="00DB26A9" w:rsidRPr="00DB26A9" w:rsidRDefault="00DB26A9" w:rsidP="00155461">
            <w:pPr>
              <w:rPr>
                <w:rFonts w:eastAsia="Times New Roman"/>
                <w:color w:val="000000"/>
                <w:sz w:val="22"/>
                <w:szCs w:val="22"/>
              </w:rPr>
            </w:pPr>
            <w:r w:rsidRPr="00DB26A9">
              <w:rPr>
                <w:rFonts w:eastAsia="Times New Roman"/>
                <w:color w:val="000000"/>
                <w:sz w:val="22"/>
                <w:szCs w:val="22"/>
              </w:rPr>
              <w:t xml:space="preserve">PCPs and </w:t>
            </w:r>
            <w:r w:rsidR="009D39E8">
              <w:rPr>
                <w:rFonts w:eastAsia="Times New Roman"/>
                <w:color w:val="000000"/>
                <w:sz w:val="22"/>
                <w:szCs w:val="22"/>
              </w:rPr>
              <w:t>non-</w:t>
            </w:r>
            <w:r w:rsidR="00155461">
              <w:rPr>
                <w:rFonts w:eastAsia="Times New Roman"/>
                <w:color w:val="000000"/>
                <w:sz w:val="22"/>
                <w:szCs w:val="22"/>
              </w:rPr>
              <w:t>p</w:t>
            </w:r>
            <w:r w:rsidR="009D39E8">
              <w:rPr>
                <w:rFonts w:eastAsia="Times New Roman"/>
                <w:color w:val="000000"/>
                <w:sz w:val="22"/>
                <w:szCs w:val="22"/>
              </w:rPr>
              <w:t xml:space="preserve">sychiatrist </w:t>
            </w:r>
            <w:r w:rsidRPr="00DB26A9">
              <w:rPr>
                <w:rFonts w:eastAsia="Times New Roman"/>
                <w:color w:val="000000"/>
                <w:sz w:val="22"/>
                <w:szCs w:val="22"/>
              </w:rPr>
              <w:t>M</w:t>
            </w:r>
            <w:r w:rsidR="00155461">
              <w:rPr>
                <w:rFonts w:eastAsia="Times New Roman"/>
                <w:color w:val="000000"/>
                <w:sz w:val="22"/>
                <w:szCs w:val="22"/>
              </w:rPr>
              <w:t>/S</w:t>
            </w:r>
            <w:r w:rsidRPr="00DB26A9">
              <w:rPr>
                <w:rFonts w:eastAsia="Times New Roman"/>
                <w:color w:val="000000"/>
                <w:sz w:val="22"/>
                <w:szCs w:val="22"/>
              </w:rPr>
              <w:t xml:space="preserve"> </w:t>
            </w:r>
            <w:r w:rsidR="00155461">
              <w:rPr>
                <w:rFonts w:eastAsia="Times New Roman"/>
                <w:color w:val="000000"/>
                <w:sz w:val="22"/>
                <w:szCs w:val="22"/>
              </w:rPr>
              <w:t>s</w:t>
            </w:r>
            <w:r w:rsidRPr="00DB26A9">
              <w:rPr>
                <w:rFonts w:eastAsia="Times New Roman"/>
                <w:color w:val="000000"/>
                <w:sz w:val="22"/>
                <w:szCs w:val="22"/>
              </w:rPr>
              <w:t xml:space="preserve">pecialist </w:t>
            </w:r>
            <w:r w:rsidR="00155461">
              <w:rPr>
                <w:rFonts w:eastAsia="Times New Roman"/>
                <w:color w:val="000000"/>
                <w:sz w:val="22"/>
                <w:szCs w:val="22"/>
              </w:rPr>
              <w:t>p</w:t>
            </w:r>
            <w:r w:rsidRPr="00DB26A9">
              <w:rPr>
                <w:rFonts w:eastAsia="Times New Roman"/>
                <w:color w:val="000000"/>
                <w:sz w:val="22"/>
                <w:szCs w:val="22"/>
              </w:rPr>
              <w:t>hysicians</w:t>
            </w:r>
            <w:r w:rsidRPr="00DB26A9">
              <w:rPr>
                <w:rFonts w:eastAsia="Times New Roman"/>
                <w:color w:val="000000"/>
                <w:sz w:val="22"/>
                <w:szCs w:val="22"/>
              </w:rPr>
              <w:br/>
              <w:t>(combined)</w:t>
            </w:r>
          </w:p>
        </w:tc>
        <w:tc>
          <w:tcPr>
            <w:tcW w:w="1440" w:type="dxa"/>
            <w:tcBorders>
              <w:top w:val="nil"/>
              <w:left w:val="nil"/>
              <w:bottom w:val="single" w:sz="4" w:space="0" w:color="auto"/>
              <w:right w:val="single" w:sz="4" w:space="0" w:color="auto"/>
            </w:tcBorders>
            <w:shd w:val="clear" w:color="auto" w:fill="auto"/>
            <w:noWrap/>
            <w:vAlign w:val="center"/>
            <w:hideMark/>
          </w:tcPr>
          <w:p w14:paraId="5065EEE3" w14:textId="77777777" w:rsidR="00DB26A9" w:rsidRPr="00DB26A9" w:rsidRDefault="00DB26A9" w:rsidP="00DB26A9">
            <w:pPr>
              <w:jc w:val="center"/>
              <w:rPr>
                <w:rFonts w:eastAsia="Times New Roman"/>
                <w:sz w:val="22"/>
                <w:szCs w:val="22"/>
              </w:rPr>
            </w:pPr>
            <w:r w:rsidRPr="00DB26A9">
              <w:rPr>
                <w:rFonts w:eastAsia="Times New Roman"/>
                <w:sz w:val="22"/>
                <w:szCs w:val="22"/>
              </w:rPr>
              <w:t>99213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8A6CE1" w14:textId="77777777" w:rsidR="00DB26A9" w:rsidRPr="00DB26A9" w:rsidRDefault="00DB26A9" w:rsidP="00DB26A9">
            <w:pPr>
              <w:rPr>
                <w:rFonts w:eastAsia="Times New Roman"/>
                <w:sz w:val="22"/>
                <w:szCs w:val="22"/>
              </w:rPr>
            </w:pPr>
            <w:r w:rsidRPr="00DB26A9">
              <w:rPr>
                <w:rFonts w:eastAsia="Times New Roman"/>
                <w:sz w:val="22"/>
                <w:szCs w:val="22"/>
              </w:rPr>
              <w:t xml:space="preserve"> $ </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667FDB96" w14:textId="77777777" w:rsidR="00DB26A9" w:rsidRPr="00DB26A9" w:rsidRDefault="00DB26A9" w:rsidP="00DB26A9">
            <w:pPr>
              <w:rPr>
                <w:rFonts w:eastAsia="Times New Roman"/>
                <w:sz w:val="22"/>
                <w:szCs w:val="22"/>
              </w:rPr>
            </w:pPr>
            <w:r w:rsidRPr="00DB26A9">
              <w:rPr>
                <w:rFonts w:eastAsia="Times New Roman"/>
                <w:sz w:val="22"/>
                <w:szCs w:val="22"/>
              </w:rPr>
              <w:t xml:space="preserve">$76.15 </w:t>
            </w:r>
          </w:p>
        </w:tc>
        <w:tc>
          <w:tcPr>
            <w:tcW w:w="1467" w:type="dxa"/>
            <w:tcBorders>
              <w:top w:val="nil"/>
              <w:left w:val="nil"/>
              <w:bottom w:val="single" w:sz="4" w:space="0" w:color="auto"/>
              <w:right w:val="single" w:sz="4" w:space="0" w:color="auto"/>
            </w:tcBorders>
            <w:shd w:val="clear" w:color="auto" w:fill="FFFF99"/>
            <w:noWrap/>
            <w:vAlign w:val="center"/>
            <w:hideMark/>
          </w:tcPr>
          <w:p w14:paraId="52180067"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r>
      <w:tr w:rsidR="00DB26A9" w:rsidRPr="00DB26A9" w14:paraId="3FA0016C" w14:textId="77777777" w:rsidTr="007A4815">
        <w:trPr>
          <w:trHeight w:val="632"/>
        </w:trPr>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F4930" w14:textId="77777777" w:rsidR="00DB26A9" w:rsidRPr="00DB26A9" w:rsidRDefault="00DB26A9" w:rsidP="00DB26A9">
            <w:pPr>
              <w:jc w:val="center"/>
              <w:rPr>
                <w:rFonts w:eastAsia="Times New Roman"/>
                <w:sz w:val="22"/>
                <w:szCs w:val="22"/>
              </w:rPr>
            </w:pPr>
            <w:r w:rsidRPr="00DB26A9">
              <w:rPr>
                <w:rFonts w:eastAsia="Times New Roman"/>
                <w:sz w:val="22"/>
                <w:szCs w:val="22"/>
              </w:rPr>
              <w:t>2</w:t>
            </w:r>
          </w:p>
        </w:tc>
        <w:tc>
          <w:tcPr>
            <w:tcW w:w="2700" w:type="dxa"/>
            <w:tcBorders>
              <w:top w:val="nil"/>
              <w:left w:val="nil"/>
              <w:bottom w:val="single" w:sz="4" w:space="0" w:color="auto"/>
              <w:right w:val="single" w:sz="4" w:space="0" w:color="auto"/>
            </w:tcBorders>
            <w:shd w:val="clear" w:color="auto" w:fill="auto"/>
            <w:vAlign w:val="center"/>
            <w:hideMark/>
          </w:tcPr>
          <w:p w14:paraId="74F7A301"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Psychologists</w:t>
            </w:r>
          </w:p>
        </w:tc>
        <w:tc>
          <w:tcPr>
            <w:tcW w:w="1440" w:type="dxa"/>
            <w:tcBorders>
              <w:top w:val="nil"/>
              <w:left w:val="nil"/>
              <w:bottom w:val="single" w:sz="4" w:space="0" w:color="auto"/>
              <w:right w:val="single" w:sz="4" w:space="0" w:color="auto"/>
            </w:tcBorders>
            <w:shd w:val="clear" w:color="auto" w:fill="auto"/>
            <w:noWrap/>
            <w:vAlign w:val="center"/>
            <w:hideMark/>
          </w:tcPr>
          <w:p w14:paraId="5B356522" w14:textId="77777777" w:rsidR="00DB26A9" w:rsidRPr="00DB26A9" w:rsidRDefault="00DB26A9" w:rsidP="00DB26A9">
            <w:pPr>
              <w:jc w:val="center"/>
              <w:rPr>
                <w:rFonts w:eastAsia="Times New Roman"/>
                <w:sz w:val="22"/>
                <w:szCs w:val="22"/>
              </w:rPr>
            </w:pPr>
            <w:r w:rsidRPr="00DB26A9">
              <w:rPr>
                <w:rFonts w:eastAsia="Times New Roman"/>
                <w:sz w:val="22"/>
                <w:szCs w:val="22"/>
              </w:rPr>
              <w:t>90834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75A84A" w14:textId="77777777" w:rsidR="00DB26A9" w:rsidRPr="00DB26A9" w:rsidRDefault="00DB26A9" w:rsidP="00DB26A9">
            <w:pPr>
              <w:rPr>
                <w:rFonts w:eastAsia="Times New Roman"/>
                <w:sz w:val="22"/>
                <w:szCs w:val="22"/>
              </w:rPr>
            </w:pPr>
            <w:r w:rsidRPr="00DB26A9">
              <w:rPr>
                <w:rFonts w:eastAsia="Times New Roman"/>
                <w:sz w:val="22"/>
                <w:szCs w:val="22"/>
              </w:rPr>
              <w:t xml:space="preserve"> $ </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EC5D7AD" w14:textId="77777777" w:rsidR="00DB26A9" w:rsidRPr="00DB26A9" w:rsidRDefault="00DB26A9" w:rsidP="00DB26A9">
            <w:pPr>
              <w:rPr>
                <w:rFonts w:eastAsia="Times New Roman"/>
                <w:sz w:val="22"/>
                <w:szCs w:val="22"/>
              </w:rPr>
            </w:pPr>
            <w:r w:rsidRPr="00DB26A9">
              <w:rPr>
                <w:rFonts w:eastAsia="Times New Roman"/>
                <w:sz w:val="22"/>
                <w:szCs w:val="22"/>
              </w:rPr>
              <w:t xml:space="preserve">$94.56 </w:t>
            </w:r>
          </w:p>
        </w:tc>
        <w:tc>
          <w:tcPr>
            <w:tcW w:w="1467" w:type="dxa"/>
            <w:tcBorders>
              <w:top w:val="nil"/>
              <w:left w:val="nil"/>
              <w:bottom w:val="single" w:sz="4" w:space="0" w:color="auto"/>
              <w:right w:val="single" w:sz="4" w:space="0" w:color="auto"/>
            </w:tcBorders>
            <w:shd w:val="clear" w:color="auto" w:fill="FFFF99"/>
            <w:noWrap/>
            <w:vAlign w:val="center"/>
            <w:hideMark/>
          </w:tcPr>
          <w:p w14:paraId="06EFFBEA"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r>
      <w:tr w:rsidR="00DB26A9" w:rsidRPr="00DB26A9" w14:paraId="74C3B96C" w14:textId="77777777" w:rsidTr="007A4815">
        <w:trPr>
          <w:trHeight w:val="632"/>
        </w:trPr>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6355A9" w14:textId="77777777" w:rsidR="00DB26A9" w:rsidRPr="00DB26A9" w:rsidRDefault="00DB26A9" w:rsidP="00DB26A9">
            <w:pPr>
              <w:jc w:val="center"/>
              <w:rPr>
                <w:rFonts w:eastAsia="Times New Roman"/>
                <w:sz w:val="22"/>
                <w:szCs w:val="22"/>
              </w:rPr>
            </w:pPr>
            <w:r w:rsidRPr="00DB26A9">
              <w:rPr>
                <w:rFonts w:eastAsia="Times New Roman"/>
                <w:sz w:val="22"/>
                <w:szCs w:val="22"/>
              </w:rPr>
              <w:t>3</w:t>
            </w:r>
          </w:p>
        </w:tc>
        <w:tc>
          <w:tcPr>
            <w:tcW w:w="2700" w:type="dxa"/>
            <w:tcBorders>
              <w:top w:val="nil"/>
              <w:left w:val="nil"/>
              <w:bottom w:val="single" w:sz="4" w:space="0" w:color="auto"/>
              <w:right w:val="single" w:sz="4" w:space="0" w:color="auto"/>
            </w:tcBorders>
            <w:shd w:val="clear" w:color="auto" w:fill="auto"/>
            <w:vAlign w:val="center"/>
            <w:hideMark/>
          </w:tcPr>
          <w:p w14:paraId="15DA34E6"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Clinical Social Workers</w:t>
            </w:r>
          </w:p>
        </w:tc>
        <w:tc>
          <w:tcPr>
            <w:tcW w:w="1440" w:type="dxa"/>
            <w:tcBorders>
              <w:top w:val="nil"/>
              <w:left w:val="nil"/>
              <w:bottom w:val="single" w:sz="4" w:space="0" w:color="auto"/>
              <w:right w:val="single" w:sz="4" w:space="0" w:color="auto"/>
            </w:tcBorders>
            <w:shd w:val="clear" w:color="auto" w:fill="auto"/>
            <w:noWrap/>
            <w:vAlign w:val="center"/>
            <w:hideMark/>
          </w:tcPr>
          <w:p w14:paraId="6F2C22CF" w14:textId="77777777" w:rsidR="00DB26A9" w:rsidRPr="00DB26A9" w:rsidRDefault="00DB26A9" w:rsidP="00DB26A9">
            <w:pPr>
              <w:jc w:val="center"/>
              <w:rPr>
                <w:rFonts w:eastAsia="Times New Roman"/>
                <w:sz w:val="22"/>
                <w:szCs w:val="22"/>
              </w:rPr>
            </w:pPr>
            <w:r w:rsidRPr="00DB26A9">
              <w:rPr>
                <w:rFonts w:eastAsia="Times New Roman"/>
                <w:sz w:val="22"/>
                <w:szCs w:val="22"/>
              </w:rPr>
              <w:t>90834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B405571" w14:textId="77777777" w:rsidR="00DB26A9" w:rsidRPr="00DB26A9" w:rsidRDefault="00DB26A9" w:rsidP="00DB26A9">
            <w:pPr>
              <w:rPr>
                <w:rFonts w:eastAsia="Times New Roman"/>
                <w:sz w:val="22"/>
                <w:szCs w:val="22"/>
              </w:rPr>
            </w:pPr>
            <w:r w:rsidRPr="00DB26A9">
              <w:rPr>
                <w:rFonts w:eastAsia="Times New Roman"/>
                <w:sz w:val="22"/>
                <w:szCs w:val="22"/>
              </w:rPr>
              <w:t xml:space="preserve"> $ </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E1A7571" w14:textId="77777777" w:rsidR="00DB26A9" w:rsidRPr="00DB26A9" w:rsidRDefault="00DB26A9" w:rsidP="00DB26A9">
            <w:pPr>
              <w:rPr>
                <w:rFonts w:eastAsia="Times New Roman"/>
                <w:sz w:val="22"/>
                <w:szCs w:val="22"/>
              </w:rPr>
            </w:pPr>
            <w:r w:rsidRPr="00DB26A9">
              <w:rPr>
                <w:rFonts w:eastAsia="Times New Roman"/>
                <w:sz w:val="22"/>
                <w:szCs w:val="22"/>
              </w:rPr>
              <w:t xml:space="preserve">$70.92 </w:t>
            </w:r>
          </w:p>
        </w:tc>
        <w:tc>
          <w:tcPr>
            <w:tcW w:w="1467" w:type="dxa"/>
            <w:tcBorders>
              <w:top w:val="nil"/>
              <w:left w:val="nil"/>
              <w:bottom w:val="single" w:sz="4" w:space="0" w:color="auto"/>
              <w:right w:val="single" w:sz="4" w:space="0" w:color="auto"/>
            </w:tcBorders>
            <w:shd w:val="clear" w:color="auto" w:fill="FFFF99"/>
            <w:noWrap/>
            <w:vAlign w:val="center"/>
            <w:hideMark/>
          </w:tcPr>
          <w:p w14:paraId="18183C08"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r>
      <w:tr w:rsidR="00DB26A9" w:rsidRPr="00DB26A9" w14:paraId="4B642C9F" w14:textId="77777777" w:rsidTr="007A4815">
        <w:trPr>
          <w:trHeight w:val="512"/>
        </w:trPr>
        <w:tc>
          <w:tcPr>
            <w:tcW w:w="630" w:type="dxa"/>
            <w:gridSpan w:val="2"/>
            <w:tcBorders>
              <w:top w:val="nil"/>
              <w:left w:val="nil"/>
              <w:bottom w:val="nil"/>
              <w:right w:val="nil"/>
            </w:tcBorders>
            <w:shd w:val="clear" w:color="auto" w:fill="auto"/>
            <w:noWrap/>
            <w:vAlign w:val="center"/>
            <w:hideMark/>
          </w:tcPr>
          <w:p w14:paraId="13AD5F1F" w14:textId="77777777" w:rsidR="00DB26A9" w:rsidRPr="00DB26A9" w:rsidRDefault="00DB26A9" w:rsidP="00DB26A9">
            <w:pPr>
              <w:jc w:val="right"/>
              <w:rPr>
                <w:rFonts w:eastAsia="Times New Roman"/>
                <w:sz w:val="22"/>
                <w:szCs w:val="22"/>
              </w:rPr>
            </w:pPr>
          </w:p>
        </w:tc>
        <w:tc>
          <w:tcPr>
            <w:tcW w:w="2700" w:type="dxa"/>
            <w:tcBorders>
              <w:top w:val="nil"/>
              <w:left w:val="nil"/>
              <w:bottom w:val="nil"/>
              <w:right w:val="nil"/>
            </w:tcBorders>
            <w:shd w:val="clear" w:color="auto" w:fill="auto"/>
            <w:vAlign w:val="center"/>
            <w:hideMark/>
          </w:tcPr>
          <w:p w14:paraId="7D26D78A" w14:textId="77777777" w:rsidR="00DB26A9" w:rsidRPr="00DB26A9" w:rsidRDefault="00DB26A9" w:rsidP="00DB26A9">
            <w:pPr>
              <w:jc w:val="center"/>
              <w:rPr>
                <w:rFonts w:eastAsia="Times New Roman"/>
              </w:rPr>
            </w:pPr>
          </w:p>
        </w:tc>
        <w:tc>
          <w:tcPr>
            <w:tcW w:w="1440" w:type="dxa"/>
            <w:tcBorders>
              <w:top w:val="nil"/>
              <w:left w:val="nil"/>
              <w:bottom w:val="nil"/>
              <w:right w:val="nil"/>
            </w:tcBorders>
            <w:shd w:val="clear" w:color="auto" w:fill="auto"/>
            <w:noWrap/>
            <w:vAlign w:val="center"/>
            <w:hideMark/>
          </w:tcPr>
          <w:p w14:paraId="5627BA93" w14:textId="77777777" w:rsidR="00DB26A9" w:rsidRPr="00DB26A9" w:rsidRDefault="00DB26A9" w:rsidP="00DB26A9">
            <w:pPr>
              <w:rPr>
                <w:rFonts w:eastAsia="Times New Roman"/>
              </w:rPr>
            </w:pPr>
          </w:p>
        </w:tc>
        <w:tc>
          <w:tcPr>
            <w:tcW w:w="1440" w:type="dxa"/>
            <w:gridSpan w:val="2"/>
            <w:tcBorders>
              <w:top w:val="nil"/>
              <w:left w:val="nil"/>
              <w:bottom w:val="nil"/>
              <w:right w:val="nil"/>
            </w:tcBorders>
            <w:shd w:val="clear" w:color="auto" w:fill="auto"/>
            <w:noWrap/>
            <w:vAlign w:val="center"/>
            <w:hideMark/>
          </w:tcPr>
          <w:p w14:paraId="4D2D738A" w14:textId="77777777" w:rsidR="00DB26A9" w:rsidRPr="00DB26A9" w:rsidRDefault="00DB26A9" w:rsidP="00DB26A9">
            <w:pPr>
              <w:jc w:val="center"/>
              <w:rPr>
                <w:rFonts w:eastAsia="Times New Roman"/>
              </w:rPr>
            </w:pPr>
          </w:p>
        </w:tc>
        <w:tc>
          <w:tcPr>
            <w:tcW w:w="1350" w:type="dxa"/>
            <w:gridSpan w:val="2"/>
            <w:tcBorders>
              <w:top w:val="nil"/>
              <w:left w:val="nil"/>
              <w:bottom w:val="nil"/>
              <w:right w:val="nil"/>
            </w:tcBorders>
            <w:shd w:val="clear" w:color="auto" w:fill="auto"/>
            <w:noWrap/>
            <w:vAlign w:val="center"/>
            <w:hideMark/>
          </w:tcPr>
          <w:p w14:paraId="63B662AD" w14:textId="77777777" w:rsidR="00DB26A9" w:rsidRPr="00DB26A9" w:rsidRDefault="00DB26A9" w:rsidP="00DB26A9">
            <w:pPr>
              <w:rPr>
                <w:rFonts w:eastAsia="Times New Roman"/>
              </w:rPr>
            </w:pPr>
          </w:p>
        </w:tc>
        <w:tc>
          <w:tcPr>
            <w:tcW w:w="1467" w:type="dxa"/>
            <w:tcBorders>
              <w:top w:val="nil"/>
              <w:left w:val="nil"/>
              <w:bottom w:val="nil"/>
              <w:right w:val="nil"/>
            </w:tcBorders>
            <w:shd w:val="clear" w:color="auto" w:fill="auto"/>
            <w:noWrap/>
            <w:vAlign w:val="center"/>
            <w:hideMark/>
          </w:tcPr>
          <w:p w14:paraId="66F4761D" w14:textId="77777777" w:rsidR="00DB26A9" w:rsidRPr="00DB26A9" w:rsidRDefault="00DB26A9" w:rsidP="00DB26A9">
            <w:pPr>
              <w:rPr>
                <w:rFonts w:eastAsia="Times New Roman"/>
              </w:rPr>
            </w:pPr>
          </w:p>
        </w:tc>
      </w:tr>
      <w:tr w:rsidR="00DB26A9" w:rsidRPr="00DB26A9" w14:paraId="64CE3907" w14:textId="77777777" w:rsidTr="00C83751">
        <w:trPr>
          <w:trHeight w:val="1283"/>
        </w:trPr>
        <w:tc>
          <w:tcPr>
            <w:tcW w:w="902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D10B3CA" w14:textId="25058760" w:rsidR="00DB26A9" w:rsidRPr="00DB26A9" w:rsidRDefault="00DB26A9" w:rsidP="003E246D">
            <w:pPr>
              <w:jc w:val="center"/>
              <w:rPr>
                <w:rFonts w:eastAsia="Times New Roman"/>
                <w:b/>
                <w:bCs/>
                <w:sz w:val="24"/>
                <w:szCs w:val="24"/>
              </w:rPr>
            </w:pPr>
            <w:r w:rsidRPr="00DB26A9">
              <w:rPr>
                <w:rFonts w:eastAsia="Times New Roman"/>
                <w:b/>
                <w:bCs/>
                <w:sz w:val="24"/>
                <w:szCs w:val="24"/>
              </w:rPr>
              <w:lastRenderedPageBreak/>
              <w:t xml:space="preserve">Table </w:t>
            </w:r>
            <w:r w:rsidR="003E246D">
              <w:rPr>
                <w:rFonts w:eastAsia="Times New Roman"/>
                <w:b/>
                <w:bCs/>
                <w:sz w:val="24"/>
                <w:szCs w:val="24"/>
              </w:rPr>
              <w:t xml:space="preserve">B(2) Product </w:t>
            </w:r>
            <w:r w:rsidRPr="00DB26A9">
              <w:rPr>
                <w:rFonts w:eastAsia="Times New Roman"/>
                <w:b/>
                <w:bCs/>
                <w:sz w:val="24"/>
                <w:szCs w:val="24"/>
              </w:rPr>
              <w:t>Data for Plan Year</w:t>
            </w:r>
            <w:r w:rsidR="003E246D">
              <w:rPr>
                <w:rFonts w:eastAsia="Times New Roman"/>
                <w:b/>
                <w:bCs/>
                <w:sz w:val="24"/>
                <w:szCs w:val="24"/>
              </w:rPr>
              <w:t xml:space="preserve"> 2020</w:t>
            </w:r>
            <w:r w:rsidRPr="00DB26A9">
              <w:rPr>
                <w:rFonts w:eastAsia="Times New Roman"/>
                <w:b/>
                <w:bCs/>
                <w:sz w:val="24"/>
                <w:szCs w:val="24"/>
              </w:rPr>
              <w:br/>
              <w:t xml:space="preserve">Medical/Surgical Physicians </w:t>
            </w:r>
            <w:r w:rsidRPr="00DB26A9">
              <w:rPr>
                <w:rFonts w:eastAsia="Times New Roman"/>
                <w:b/>
                <w:bCs/>
                <w:sz w:val="24"/>
                <w:szCs w:val="24"/>
                <w:u w:val="single"/>
              </w:rPr>
              <w:t>compared to</w:t>
            </w:r>
            <w:r w:rsidRPr="00DB26A9">
              <w:rPr>
                <w:rFonts w:eastAsia="Times New Roman"/>
                <w:b/>
                <w:bCs/>
                <w:sz w:val="24"/>
                <w:szCs w:val="24"/>
              </w:rPr>
              <w:t xml:space="preserve"> Psychologists and Clinical Social Workers </w:t>
            </w:r>
            <w:r w:rsidRPr="00DB26A9">
              <w:rPr>
                <w:rFonts w:eastAsia="Times New Roman"/>
                <w:b/>
                <w:bCs/>
                <w:sz w:val="24"/>
                <w:szCs w:val="24"/>
              </w:rPr>
              <w:br/>
              <w:t>for CPT Codes 99214 &amp; 90837, Indexed to National Medicare Fee Schedule</w:t>
            </w:r>
          </w:p>
        </w:tc>
      </w:tr>
      <w:tr w:rsidR="00DB26A9" w:rsidRPr="00DB26A9" w14:paraId="15CFC2FC" w14:textId="77777777" w:rsidTr="007A4815">
        <w:trPr>
          <w:trHeight w:val="288"/>
        </w:trPr>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6EA9EB"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79772F"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 </w:t>
            </w:r>
          </w:p>
        </w:tc>
        <w:tc>
          <w:tcPr>
            <w:tcW w:w="1440" w:type="dxa"/>
            <w:tcBorders>
              <w:top w:val="nil"/>
              <w:left w:val="nil"/>
              <w:bottom w:val="nil"/>
              <w:right w:val="nil"/>
            </w:tcBorders>
            <w:shd w:val="clear" w:color="auto" w:fill="auto"/>
            <w:noWrap/>
            <w:vAlign w:val="bottom"/>
            <w:hideMark/>
          </w:tcPr>
          <w:p w14:paraId="44DE259C" w14:textId="77777777" w:rsidR="00DB26A9" w:rsidRPr="00DB26A9" w:rsidRDefault="00DB26A9" w:rsidP="00DB26A9">
            <w:pPr>
              <w:jc w:val="center"/>
              <w:rPr>
                <w:rFonts w:eastAsia="Times New Roman"/>
                <w:b/>
                <w:bCs/>
                <w:color w:val="000000"/>
                <w:sz w:val="22"/>
                <w:szCs w:val="22"/>
              </w:rPr>
            </w:pP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559BEE"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Column A</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044BAD2A"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Column B</w:t>
            </w:r>
          </w:p>
        </w:tc>
        <w:tc>
          <w:tcPr>
            <w:tcW w:w="1467" w:type="dxa"/>
            <w:tcBorders>
              <w:top w:val="nil"/>
              <w:left w:val="nil"/>
              <w:bottom w:val="single" w:sz="4" w:space="0" w:color="auto"/>
              <w:right w:val="single" w:sz="4" w:space="0" w:color="auto"/>
            </w:tcBorders>
            <w:shd w:val="clear" w:color="auto" w:fill="auto"/>
            <w:noWrap/>
            <w:vAlign w:val="bottom"/>
            <w:hideMark/>
          </w:tcPr>
          <w:p w14:paraId="663EE478"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Column C</w:t>
            </w:r>
          </w:p>
        </w:tc>
      </w:tr>
      <w:tr w:rsidR="00DB26A9" w:rsidRPr="00DB26A9" w14:paraId="33A3AB4A" w14:textId="77777777" w:rsidTr="007A4815">
        <w:trPr>
          <w:trHeight w:val="1728"/>
        </w:trPr>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780CE5"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 </w:t>
            </w:r>
          </w:p>
        </w:tc>
        <w:tc>
          <w:tcPr>
            <w:tcW w:w="2700" w:type="dxa"/>
            <w:tcBorders>
              <w:top w:val="nil"/>
              <w:left w:val="nil"/>
              <w:bottom w:val="nil"/>
              <w:right w:val="single" w:sz="4" w:space="0" w:color="auto"/>
            </w:tcBorders>
            <w:shd w:val="clear" w:color="auto" w:fill="auto"/>
            <w:vAlign w:val="center"/>
            <w:hideMark/>
          </w:tcPr>
          <w:p w14:paraId="3E9394BE"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Provider Type</w:t>
            </w:r>
          </w:p>
        </w:tc>
        <w:tc>
          <w:tcPr>
            <w:tcW w:w="1440" w:type="dxa"/>
            <w:tcBorders>
              <w:top w:val="single" w:sz="4" w:space="0" w:color="auto"/>
              <w:left w:val="nil"/>
              <w:bottom w:val="nil"/>
              <w:right w:val="single" w:sz="4" w:space="0" w:color="auto"/>
            </w:tcBorders>
            <w:shd w:val="clear" w:color="auto" w:fill="auto"/>
            <w:vAlign w:val="center"/>
            <w:hideMark/>
          </w:tcPr>
          <w:p w14:paraId="3EBE17E9"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CPT Codes</w:t>
            </w:r>
          </w:p>
        </w:tc>
        <w:tc>
          <w:tcPr>
            <w:tcW w:w="1440" w:type="dxa"/>
            <w:gridSpan w:val="2"/>
            <w:tcBorders>
              <w:top w:val="nil"/>
              <w:left w:val="nil"/>
              <w:bottom w:val="nil"/>
              <w:right w:val="single" w:sz="4" w:space="0" w:color="auto"/>
            </w:tcBorders>
            <w:shd w:val="clear" w:color="auto" w:fill="auto"/>
            <w:vAlign w:val="center"/>
            <w:hideMark/>
          </w:tcPr>
          <w:p w14:paraId="1DA82C26"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 xml:space="preserve">Plan Weighted Average Allowed Amount </w:t>
            </w:r>
          </w:p>
        </w:tc>
        <w:tc>
          <w:tcPr>
            <w:tcW w:w="1350" w:type="dxa"/>
            <w:gridSpan w:val="2"/>
            <w:tcBorders>
              <w:top w:val="nil"/>
              <w:left w:val="nil"/>
              <w:bottom w:val="nil"/>
              <w:right w:val="single" w:sz="4" w:space="0" w:color="auto"/>
            </w:tcBorders>
            <w:shd w:val="clear" w:color="auto" w:fill="auto"/>
            <w:vAlign w:val="center"/>
            <w:hideMark/>
          </w:tcPr>
          <w:p w14:paraId="57B273DD"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National Medicare Fee Schedule Amount</w:t>
            </w:r>
          </w:p>
        </w:tc>
        <w:tc>
          <w:tcPr>
            <w:tcW w:w="1467" w:type="dxa"/>
            <w:tcBorders>
              <w:top w:val="nil"/>
              <w:left w:val="nil"/>
              <w:bottom w:val="nil"/>
              <w:right w:val="single" w:sz="4" w:space="0" w:color="auto"/>
            </w:tcBorders>
            <w:shd w:val="clear" w:color="auto" w:fill="auto"/>
            <w:vAlign w:val="center"/>
            <w:hideMark/>
          </w:tcPr>
          <w:p w14:paraId="7413B8C1" w14:textId="77777777" w:rsidR="00DB26A9" w:rsidRPr="00DB26A9" w:rsidRDefault="00DB26A9" w:rsidP="00DB26A9">
            <w:pPr>
              <w:jc w:val="center"/>
              <w:rPr>
                <w:rFonts w:eastAsia="Times New Roman"/>
                <w:b/>
                <w:bCs/>
                <w:color w:val="000000"/>
                <w:sz w:val="22"/>
                <w:szCs w:val="22"/>
              </w:rPr>
            </w:pPr>
            <w:r w:rsidRPr="00DB26A9">
              <w:rPr>
                <w:rFonts w:eastAsia="Times New Roman"/>
                <w:b/>
                <w:bCs/>
                <w:color w:val="000000"/>
                <w:sz w:val="22"/>
                <w:szCs w:val="22"/>
              </w:rPr>
              <w:t>Plan Weighted Average Allowed Amount as a Percentage of Medicare</w:t>
            </w:r>
          </w:p>
        </w:tc>
      </w:tr>
      <w:tr w:rsidR="00DB26A9" w:rsidRPr="00DB26A9" w14:paraId="5161BB17" w14:textId="77777777" w:rsidTr="007A4815">
        <w:trPr>
          <w:trHeight w:val="838"/>
        </w:trPr>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EF145E" w14:textId="77777777" w:rsidR="00DB26A9" w:rsidRPr="00DB26A9" w:rsidRDefault="00DB26A9" w:rsidP="00DB26A9">
            <w:pPr>
              <w:jc w:val="center"/>
              <w:rPr>
                <w:rFonts w:eastAsia="Times New Roman"/>
                <w:sz w:val="22"/>
                <w:szCs w:val="22"/>
              </w:rPr>
            </w:pPr>
            <w:r w:rsidRPr="00DB26A9">
              <w:rPr>
                <w:rFonts w:eastAsia="Times New Roman"/>
                <w:sz w:val="22"/>
                <w:szCs w:val="22"/>
              </w:rPr>
              <w:t>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6ED35DC" w14:textId="2B1B3C24" w:rsidR="00DB26A9" w:rsidRPr="00DB26A9" w:rsidRDefault="00DB26A9" w:rsidP="00155461">
            <w:pPr>
              <w:rPr>
                <w:rFonts w:eastAsia="Times New Roman"/>
                <w:color w:val="000000"/>
                <w:sz w:val="22"/>
                <w:szCs w:val="22"/>
              </w:rPr>
            </w:pPr>
            <w:r w:rsidRPr="00DB26A9">
              <w:rPr>
                <w:rFonts w:eastAsia="Times New Roman"/>
                <w:color w:val="000000"/>
                <w:sz w:val="22"/>
                <w:szCs w:val="22"/>
              </w:rPr>
              <w:t xml:space="preserve">PCPs and </w:t>
            </w:r>
            <w:r w:rsidR="00155461">
              <w:rPr>
                <w:rFonts w:eastAsia="Times New Roman"/>
                <w:color w:val="000000"/>
                <w:sz w:val="22"/>
                <w:szCs w:val="22"/>
              </w:rPr>
              <w:t>non-psychiatrist M/S s</w:t>
            </w:r>
            <w:r w:rsidRPr="00DB26A9">
              <w:rPr>
                <w:rFonts w:eastAsia="Times New Roman"/>
                <w:color w:val="000000"/>
                <w:sz w:val="22"/>
                <w:szCs w:val="22"/>
              </w:rPr>
              <w:t xml:space="preserve">pecialist </w:t>
            </w:r>
            <w:r w:rsidR="00155461">
              <w:rPr>
                <w:rFonts w:eastAsia="Times New Roman"/>
                <w:color w:val="000000"/>
                <w:sz w:val="22"/>
                <w:szCs w:val="22"/>
              </w:rPr>
              <w:t>p</w:t>
            </w:r>
            <w:r w:rsidRPr="00DB26A9">
              <w:rPr>
                <w:rFonts w:eastAsia="Times New Roman"/>
                <w:color w:val="000000"/>
                <w:sz w:val="22"/>
                <w:szCs w:val="22"/>
              </w:rPr>
              <w:t>hysicians</w:t>
            </w:r>
            <w:r w:rsidRPr="00DB26A9">
              <w:rPr>
                <w:rFonts w:eastAsia="Times New Roman"/>
                <w:color w:val="000000"/>
                <w:sz w:val="22"/>
                <w:szCs w:val="22"/>
              </w:rPr>
              <w:br/>
              <w:t>(combined)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381F5A" w14:textId="77777777" w:rsidR="00DB26A9" w:rsidRPr="00DB26A9" w:rsidRDefault="00DB26A9" w:rsidP="00DB26A9">
            <w:pPr>
              <w:jc w:val="center"/>
              <w:rPr>
                <w:rFonts w:eastAsia="Times New Roman"/>
                <w:sz w:val="22"/>
                <w:szCs w:val="22"/>
              </w:rPr>
            </w:pPr>
            <w:r w:rsidRPr="00DB26A9">
              <w:rPr>
                <w:rFonts w:eastAsia="Times New Roman"/>
                <w:sz w:val="22"/>
                <w:szCs w:val="22"/>
              </w:rPr>
              <w:t>99214</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177EDC" w14:textId="77777777" w:rsidR="00DB26A9" w:rsidRPr="00DB26A9" w:rsidRDefault="00DB26A9" w:rsidP="00DB26A9">
            <w:pPr>
              <w:rPr>
                <w:rFonts w:eastAsia="Times New Roman"/>
                <w:sz w:val="22"/>
                <w:szCs w:val="22"/>
              </w:rPr>
            </w:pPr>
            <w:r w:rsidRPr="00DB26A9">
              <w:rPr>
                <w:rFonts w:eastAsia="Times New Roman"/>
                <w:sz w:val="22"/>
                <w:szCs w:val="22"/>
              </w:rPr>
              <w:t xml:space="preserve"> $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6A9C7C" w14:textId="77777777" w:rsidR="00DB26A9" w:rsidRPr="00DB26A9" w:rsidRDefault="00DB26A9" w:rsidP="00DB26A9">
            <w:pPr>
              <w:rPr>
                <w:rFonts w:eastAsia="Times New Roman"/>
                <w:sz w:val="22"/>
                <w:szCs w:val="22"/>
              </w:rPr>
            </w:pPr>
            <w:r w:rsidRPr="00DB26A9">
              <w:rPr>
                <w:rFonts w:eastAsia="Times New Roman"/>
                <w:sz w:val="22"/>
                <w:szCs w:val="22"/>
              </w:rPr>
              <w:t xml:space="preserve">$110.43 </w:t>
            </w:r>
          </w:p>
        </w:tc>
        <w:tc>
          <w:tcPr>
            <w:tcW w:w="1467" w:type="dxa"/>
            <w:tcBorders>
              <w:top w:val="single" w:sz="4" w:space="0" w:color="auto"/>
              <w:left w:val="nil"/>
              <w:bottom w:val="single" w:sz="4" w:space="0" w:color="auto"/>
              <w:right w:val="single" w:sz="4" w:space="0" w:color="auto"/>
            </w:tcBorders>
            <w:shd w:val="clear" w:color="auto" w:fill="FFFF99"/>
            <w:noWrap/>
            <w:vAlign w:val="center"/>
            <w:hideMark/>
          </w:tcPr>
          <w:p w14:paraId="7201FD5D"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r>
      <w:tr w:rsidR="00DB26A9" w:rsidRPr="00DB26A9" w14:paraId="4CCC30A6" w14:textId="77777777" w:rsidTr="007A4815">
        <w:trPr>
          <w:trHeight w:val="632"/>
        </w:trPr>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5352B9" w14:textId="77777777" w:rsidR="00DB26A9" w:rsidRPr="00DB26A9" w:rsidRDefault="00DB26A9" w:rsidP="00DB26A9">
            <w:pPr>
              <w:jc w:val="center"/>
              <w:rPr>
                <w:rFonts w:eastAsia="Times New Roman"/>
                <w:sz w:val="22"/>
                <w:szCs w:val="22"/>
              </w:rPr>
            </w:pPr>
            <w:r w:rsidRPr="00DB26A9">
              <w:rPr>
                <w:rFonts w:eastAsia="Times New Roman"/>
                <w:sz w:val="22"/>
                <w:szCs w:val="22"/>
              </w:rPr>
              <w:t>2</w:t>
            </w:r>
          </w:p>
        </w:tc>
        <w:tc>
          <w:tcPr>
            <w:tcW w:w="2700" w:type="dxa"/>
            <w:tcBorders>
              <w:top w:val="nil"/>
              <w:left w:val="nil"/>
              <w:bottom w:val="single" w:sz="4" w:space="0" w:color="auto"/>
              <w:right w:val="single" w:sz="4" w:space="0" w:color="auto"/>
            </w:tcBorders>
            <w:shd w:val="clear" w:color="auto" w:fill="auto"/>
            <w:vAlign w:val="center"/>
            <w:hideMark/>
          </w:tcPr>
          <w:p w14:paraId="7099563A"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Psychologists</w:t>
            </w:r>
          </w:p>
        </w:tc>
        <w:tc>
          <w:tcPr>
            <w:tcW w:w="1440" w:type="dxa"/>
            <w:tcBorders>
              <w:top w:val="nil"/>
              <w:left w:val="nil"/>
              <w:bottom w:val="single" w:sz="4" w:space="0" w:color="auto"/>
              <w:right w:val="single" w:sz="4" w:space="0" w:color="auto"/>
            </w:tcBorders>
            <w:shd w:val="clear" w:color="auto" w:fill="auto"/>
            <w:noWrap/>
            <w:vAlign w:val="center"/>
            <w:hideMark/>
          </w:tcPr>
          <w:p w14:paraId="458DD2CD" w14:textId="77777777" w:rsidR="00DB26A9" w:rsidRPr="00DB26A9" w:rsidRDefault="00DB26A9" w:rsidP="00DB26A9">
            <w:pPr>
              <w:jc w:val="center"/>
              <w:rPr>
                <w:rFonts w:eastAsia="Times New Roman"/>
                <w:sz w:val="22"/>
                <w:szCs w:val="22"/>
              </w:rPr>
            </w:pPr>
            <w:r w:rsidRPr="00DB26A9">
              <w:rPr>
                <w:rFonts w:eastAsia="Times New Roman"/>
                <w:sz w:val="22"/>
                <w:szCs w:val="22"/>
              </w:rPr>
              <w:t>90837</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CDCD351" w14:textId="77777777" w:rsidR="00DB26A9" w:rsidRPr="00DB26A9" w:rsidRDefault="00DB26A9" w:rsidP="00DB26A9">
            <w:pPr>
              <w:rPr>
                <w:rFonts w:eastAsia="Times New Roman"/>
                <w:sz w:val="22"/>
                <w:szCs w:val="22"/>
              </w:rPr>
            </w:pPr>
            <w:r w:rsidRPr="00DB26A9">
              <w:rPr>
                <w:rFonts w:eastAsia="Times New Roman"/>
                <w:sz w:val="22"/>
                <w:szCs w:val="22"/>
              </w:rPr>
              <w:t xml:space="preserve"> $ </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6EA3CA40" w14:textId="77777777" w:rsidR="00DB26A9" w:rsidRPr="00DB26A9" w:rsidRDefault="00DB26A9" w:rsidP="00DB26A9">
            <w:pPr>
              <w:rPr>
                <w:rFonts w:eastAsia="Times New Roman"/>
                <w:sz w:val="22"/>
                <w:szCs w:val="22"/>
              </w:rPr>
            </w:pPr>
            <w:r w:rsidRPr="00DB26A9">
              <w:rPr>
                <w:rFonts w:eastAsia="Times New Roman"/>
                <w:sz w:val="22"/>
                <w:szCs w:val="22"/>
              </w:rPr>
              <w:t xml:space="preserve">$141.47 </w:t>
            </w:r>
          </w:p>
        </w:tc>
        <w:tc>
          <w:tcPr>
            <w:tcW w:w="1467" w:type="dxa"/>
            <w:tcBorders>
              <w:top w:val="nil"/>
              <w:left w:val="nil"/>
              <w:bottom w:val="single" w:sz="4" w:space="0" w:color="auto"/>
              <w:right w:val="single" w:sz="4" w:space="0" w:color="auto"/>
            </w:tcBorders>
            <w:shd w:val="clear" w:color="auto" w:fill="FFFF99"/>
            <w:noWrap/>
            <w:vAlign w:val="center"/>
            <w:hideMark/>
          </w:tcPr>
          <w:p w14:paraId="1C92F4F6"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r>
      <w:tr w:rsidR="00DB26A9" w:rsidRPr="00DB26A9" w14:paraId="4391576E" w14:textId="77777777" w:rsidTr="007A4815">
        <w:trPr>
          <w:trHeight w:val="632"/>
        </w:trPr>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731B62" w14:textId="77777777" w:rsidR="00DB26A9" w:rsidRPr="00DB26A9" w:rsidRDefault="00DB26A9" w:rsidP="00DB26A9">
            <w:pPr>
              <w:jc w:val="center"/>
              <w:rPr>
                <w:rFonts w:eastAsia="Times New Roman"/>
                <w:sz w:val="22"/>
                <w:szCs w:val="22"/>
              </w:rPr>
            </w:pPr>
            <w:r w:rsidRPr="00DB26A9">
              <w:rPr>
                <w:rFonts w:eastAsia="Times New Roman"/>
                <w:sz w:val="22"/>
                <w:szCs w:val="22"/>
              </w:rPr>
              <w:t>3</w:t>
            </w:r>
          </w:p>
        </w:tc>
        <w:tc>
          <w:tcPr>
            <w:tcW w:w="2700" w:type="dxa"/>
            <w:tcBorders>
              <w:top w:val="nil"/>
              <w:left w:val="nil"/>
              <w:bottom w:val="single" w:sz="4" w:space="0" w:color="auto"/>
              <w:right w:val="single" w:sz="4" w:space="0" w:color="auto"/>
            </w:tcBorders>
            <w:shd w:val="clear" w:color="auto" w:fill="auto"/>
            <w:vAlign w:val="center"/>
            <w:hideMark/>
          </w:tcPr>
          <w:p w14:paraId="6AEE5897" w14:textId="77777777" w:rsidR="00DB26A9" w:rsidRPr="00DB26A9" w:rsidRDefault="00DB26A9" w:rsidP="00DB26A9">
            <w:pPr>
              <w:rPr>
                <w:rFonts w:eastAsia="Times New Roman"/>
                <w:color w:val="000000"/>
                <w:sz w:val="22"/>
                <w:szCs w:val="22"/>
              </w:rPr>
            </w:pPr>
            <w:r w:rsidRPr="00DB26A9">
              <w:rPr>
                <w:rFonts w:eastAsia="Times New Roman"/>
                <w:color w:val="000000"/>
                <w:sz w:val="22"/>
                <w:szCs w:val="22"/>
              </w:rPr>
              <w:t>Clinical Social Workers</w:t>
            </w:r>
          </w:p>
        </w:tc>
        <w:tc>
          <w:tcPr>
            <w:tcW w:w="1440" w:type="dxa"/>
            <w:tcBorders>
              <w:top w:val="nil"/>
              <w:left w:val="nil"/>
              <w:bottom w:val="single" w:sz="4" w:space="0" w:color="auto"/>
              <w:right w:val="single" w:sz="4" w:space="0" w:color="auto"/>
            </w:tcBorders>
            <w:shd w:val="clear" w:color="auto" w:fill="auto"/>
            <w:noWrap/>
            <w:vAlign w:val="center"/>
            <w:hideMark/>
          </w:tcPr>
          <w:p w14:paraId="54C97877" w14:textId="77777777" w:rsidR="00DB26A9" w:rsidRPr="00DB26A9" w:rsidRDefault="00DB26A9" w:rsidP="00DB26A9">
            <w:pPr>
              <w:jc w:val="center"/>
              <w:rPr>
                <w:rFonts w:eastAsia="Times New Roman"/>
                <w:sz w:val="22"/>
                <w:szCs w:val="22"/>
              </w:rPr>
            </w:pPr>
            <w:r w:rsidRPr="00DB26A9">
              <w:rPr>
                <w:rFonts w:eastAsia="Times New Roman"/>
                <w:sz w:val="22"/>
                <w:szCs w:val="22"/>
              </w:rPr>
              <w:t>90837</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1F3E61" w14:textId="77777777" w:rsidR="00DB26A9" w:rsidRPr="00DB26A9" w:rsidRDefault="00DB26A9" w:rsidP="00DB26A9">
            <w:pPr>
              <w:rPr>
                <w:rFonts w:eastAsia="Times New Roman"/>
                <w:sz w:val="22"/>
                <w:szCs w:val="22"/>
              </w:rPr>
            </w:pPr>
            <w:r w:rsidRPr="00DB26A9">
              <w:rPr>
                <w:rFonts w:eastAsia="Times New Roman"/>
                <w:sz w:val="22"/>
                <w:szCs w:val="22"/>
              </w:rPr>
              <w:t xml:space="preserve"> $ </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9A8DE36" w14:textId="77777777" w:rsidR="00DB26A9" w:rsidRPr="00DB26A9" w:rsidRDefault="00DB26A9" w:rsidP="00DB26A9">
            <w:pPr>
              <w:rPr>
                <w:rFonts w:eastAsia="Times New Roman"/>
                <w:sz w:val="22"/>
                <w:szCs w:val="22"/>
              </w:rPr>
            </w:pPr>
            <w:r w:rsidRPr="00DB26A9">
              <w:rPr>
                <w:rFonts w:eastAsia="Times New Roman"/>
                <w:sz w:val="22"/>
                <w:szCs w:val="22"/>
              </w:rPr>
              <w:t xml:space="preserve">$106.10 </w:t>
            </w:r>
          </w:p>
        </w:tc>
        <w:tc>
          <w:tcPr>
            <w:tcW w:w="1467" w:type="dxa"/>
            <w:tcBorders>
              <w:top w:val="nil"/>
              <w:left w:val="nil"/>
              <w:bottom w:val="single" w:sz="4" w:space="0" w:color="auto"/>
              <w:right w:val="single" w:sz="4" w:space="0" w:color="auto"/>
            </w:tcBorders>
            <w:shd w:val="clear" w:color="auto" w:fill="FFFF99"/>
            <w:noWrap/>
            <w:vAlign w:val="center"/>
            <w:hideMark/>
          </w:tcPr>
          <w:p w14:paraId="3E61A8B1" w14:textId="77777777" w:rsidR="00DB26A9" w:rsidRPr="00DB26A9" w:rsidRDefault="00DB26A9" w:rsidP="00DB26A9">
            <w:pPr>
              <w:jc w:val="right"/>
              <w:rPr>
                <w:rFonts w:eastAsia="Times New Roman"/>
                <w:sz w:val="22"/>
                <w:szCs w:val="22"/>
              </w:rPr>
            </w:pPr>
            <w:r w:rsidRPr="00DB26A9">
              <w:rPr>
                <w:rFonts w:eastAsia="Times New Roman"/>
                <w:sz w:val="22"/>
                <w:szCs w:val="22"/>
              </w:rPr>
              <w:t>%</w:t>
            </w:r>
          </w:p>
        </w:tc>
      </w:tr>
      <w:tr w:rsidR="00DB26A9" w:rsidRPr="00DB26A9" w14:paraId="75D3775A" w14:textId="77777777" w:rsidTr="00C83751">
        <w:trPr>
          <w:trHeight w:val="288"/>
        </w:trPr>
        <w:tc>
          <w:tcPr>
            <w:tcW w:w="9027" w:type="dxa"/>
            <w:gridSpan w:val="9"/>
            <w:tcBorders>
              <w:top w:val="nil"/>
              <w:left w:val="nil"/>
              <w:bottom w:val="nil"/>
              <w:right w:val="nil"/>
            </w:tcBorders>
            <w:shd w:val="clear" w:color="auto" w:fill="auto"/>
            <w:vAlign w:val="center"/>
            <w:hideMark/>
          </w:tcPr>
          <w:p w14:paraId="6FBB0C4A" w14:textId="07AC183C" w:rsidR="00DB26A9" w:rsidRPr="00DB26A9" w:rsidRDefault="00DB26A9" w:rsidP="009D39E8">
            <w:pPr>
              <w:rPr>
                <w:rFonts w:eastAsia="Times New Roman"/>
                <w:b/>
                <w:bCs/>
                <w:color w:val="000000"/>
                <w:sz w:val="22"/>
                <w:szCs w:val="22"/>
              </w:rPr>
            </w:pPr>
          </w:p>
        </w:tc>
      </w:tr>
      <w:tr w:rsidR="00DB26A9" w:rsidRPr="00DB26A9" w14:paraId="42F695A0" w14:textId="77777777" w:rsidTr="007A4815">
        <w:trPr>
          <w:trHeight w:val="288"/>
        </w:trPr>
        <w:tc>
          <w:tcPr>
            <w:tcW w:w="630" w:type="dxa"/>
            <w:gridSpan w:val="2"/>
            <w:tcBorders>
              <w:top w:val="nil"/>
              <w:left w:val="nil"/>
              <w:bottom w:val="nil"/>
              <w:right w:val="nil"/>
            </w:tcBorders>
            <w:shd w:val="clear" w:color="auto" w:fill="auto"/>
            <w:noWrap/>
            <w:vAlign w:val="center"/>
            <w:hideMark/>
          </w:tcPr>
          <w:p w14:paraId="4C96BD4B" w14:textId="77777777" w:rsidR="00DB26A9" w:rsidRPr="00DB26A9" w:rsidRDefault="00DB26A9" w:rsidP="00DB26A9">
            <w:pPr>
              <w:rPr>
                <w:rFonts w:eastAsia="Times New Roman"/>
                <w:b/>
                <w:bCs/>
                <w:color w:val="000000"/>
                <w:sz w:val="22"/>
                <w:szCs w:val="22"/>
              </w:rPr>
            </w:pPr>
          </w:p>
        </w:tc>
        <w:tc>
          <w:tcPr>
            <w:tcW w:w="2700" w:type="dxa"/>
            <w:tcBorders>
              <w:top w:val="nil"/>
              <w:left w:val="nil"/>
              <w:bottom w:val="nil"/>
              <w:right w:val="nil"/>
            </w:tcBorders>
            <w:shd w:val="clear" w:color="auto" w:fill="auto"/>
            <w:vAlign w:val="center"/>
            <w:hideMark/>
          </w:tcPr>
          <w:p w14:paraId="4DE8BAFD" w14:textId="77777777" w:rsidR="00DB26A9" w:rsidRPr="00DB26A9" w:rsidRDefault="00DB26A9" w:rsidP="00DB26A9">
            <w:pPr>
              <w:jc w:val="center"/>
              <w:rPr>
                <w:rFonts w:eastAsia="Times New Roman"/>
              </w:rPr>
            </w:pPr>
          </w:p>
        </w:tc>
        <w:tc>
          <w:tcPr>
            <w:tcW w:w="1440" w:type="dxa"/>
            <w:tcBorders>
              <w:top w:val="nil"/>
              <w:left w:val="nil"/>
              <w:bottom w:val="nil"/>
              <w:right w:val="nil"/>
            </w:tcBorders>
            <w:shd w:val="clear" w:color="auto" w:fill="auto"/>
            <w:noWrap/>
            <w:vAlign w:val="center"/>
            <w:hideMark/>
          </w:tcPr>
          <w:p w14:paraId="745A6675" w14:textId="77777777" w:rsidR="00DB26A9" w:rsidRPr="00DB26A9" w:rsidRDefault="00DB26A9" w:rsidP="00DB26A9">
            <w:pPr>
              <w:rPr>
                <w:rFonts w:eastAsia="Times New Roman"/>
              </w:rPr>
            </w:pPr>
          </w:p>
        </w:tc>
        <w:tc>
          <w:tcPr>
            <w:tcW w:w="1440" w:type="dxa"/>
            <w:gridSpan w:val="2"/>
            <w:tcBorders>
              <w:top w:val="nil"/>
              <w:left w:val="nil"/>
              <w:bottom w:val="nil"/>
              <w:right w:val="nil"/>
            </w:tcBorders>
            <w:shd w:val="clear" w:color="auto" w:fill="auto"/>
            <w:noWrap/>
            <w:vAlign w:val="center"/>
            <w:hideMark/>
          </w:tcPr>
          <w:p w14:paraId="4B197B95" w14:textId="77777777" w:rsidR="00DB26A9" w:rsidRPr="00DB26A9" w:rsidRDefault="00DB26A9" w:rsidP="00DB26A9">
            <w:pPr>
              <w:rPr>
                <w:rFonts w:eastAsia="Times New Roman"/>
              </w:rPr>
            </w:pPr>
          </w:p>
        </w:tc>
        <w:tc>
          <w:tcPr>
            <w:tcW w:w="1350" w:type="dxa"/>
            <w:gridSpan w:val="2"/>
            <w:tcBorders>
              <w:top w:val="nil"/>
              <w:left w:val="nil"/>
              <w:bottom w:val="nil"/>
              <w:right w:val="nil"/>
            </w:tcBorders>
            <w:shd w:val="clear" w:color="auto" w:fill="auto"/>
            <w:noWrap/>
            <w:vAlign w:val="center"/>
            <w:hideMark/>
          </w:tcPr>
          <w:p w14:paraId="2BA6DE51" w14:textId="77777777" w:rsidR="00DB26A9" w:rsidRPr="00DB26A9" w:rsidRDefault="00DB26A9" w:rsidP="00DB26A9">
            <w:pPr>
              <w:rPr>
                <w:rFonts w:eastAsia="Times New Roman"/>
              </w:rPr>
            </w:pPr>
          </w:p>
        </w:tc>
        <w:tc>
          <w:tcPr>
            <w:tcW w:w="1467" w:type="dxa"/>
            <w:tcBorders>
              <w:top w:val="nil"/>
              <w:left w:val="nil"/>
              <w:bottom w:val="nil"/>
              <w:right w:val="nil"/>
            </w:tcBorders>
            <w:shd w:val="clear" w:color="auto" w:fill="auto"/>
            <w:noWrap/>
            <w:vAlign w:val="center"/>
            <w:hideMark/>
          </w:tcPr>
          <w:p w14:paraId="3BABA570" w14:textId="77777777" w:rsidR="00DB26A9" w:rsidRPr="00DB26A9" w:rsidRDefault="00DB26A9" w:rsidP="00DB26A9">
            <w:pPr>
              <w:rPr>
                <w:rFonts w:eastAsia="Times New Roman"/>
              </w:rPr>
            </w:pPr>
          </w:p>
        </w:tc>
      </w:tr>
      <w:tr w:rsidR="00DB26A9" w:rsidRPr="00DB26A9" w14:paraId="21427D54" w14:textId="77777777" w:rsidTr="00C83751">
        <w:trPr>
          <w:trHeight w:val="4815"/>
        </w:trPr>
        <w:tc>
          <w:tcPr>
            <w:tcW w:w="9027" w:type="dxa"/>
            <w:gridSpan w:val="9"/>
            <w:tcBorders>
              <w:top w:val="nil"/>
              <w:left w:val="nil"/>
              <w:bottom w:val="nil"/>
              <w:right w:val="nil"/>
            </w:tcBorders>
            <w:shd w:val="clear" w:color="auto" w:fill="auto"/>
            <w:hideMark/>
          </w:tcPr>
          <w:p w14:paraId="358743D8" w14:textId="13070C16" w:rsidR="00DB26A9" w:rsidRPr="00DB26A9" w:rsidRDefault="00DB26A9" w:rsidP="009D39E8">
            <w:pPr>
              <w:rPr>
                <w:rFonts w:eastAsia="Times New Roman"/>
                <w:color w:val="000000"/>
                <w:sz w:val="22"/>
                <w:szCs w:val="22"/>
              </w:rPr>
            </w:pPr>
            <w:r w:rsidRPr="00DB26A9">
              <w:rPr>
                <w:rFonts w:eastAsia="Times New Roman"/>
                <w:sz w:val="22"/>
                <w:szCs w:val="22"/>
              </w:rPr>
              <w:t>*</w:t>
            </w:r>
            <w:r w:rsidRPr="00DB26A9">
              <w:rPr>
                <w:rFonts w:eastAsia="Times New Roman"/>
                <w:color w:val="000000"/>
                <w:sz w:val="22"/>
                <w:szCs w:val="22"/>
              </w:rPr>
              <w:t xml:space="preserve"> The Medicare Physician Fee Schedule can be found at: https://www.cms.gov/apps/physician-fee-schedule/search/search-criteria.aspx</w:t>
            </w:r>
            <w:r w:rsidRPr="00DB26A9">
              <w:rPr>
                <w:rFonts w:eastAsia="Times New Roman"/>
                <w:color w:val="000000"/>
                <w:sz w:val="22"/>
                <w:szCs w:val="22"/>
              </w:rPr>
              <w:br/>
              <w:t>1. Accept license for use</w:t>
            </w:r>
            <w:r w:rsidRPr="00DB26A9">
              <w:rPr>
                <w:rFonts w:eastAsia="Times New Roman"/>
                <w:color w:val="000000"/>
                <w:sz w:val="22"/>
                <w:szCs w:val="22"/>
              </w:rPr>
              <w:br/>
              <w:t>2. Select the last complete calendar year</w:t>
            </w:r>
            <w:r w:rsidRPr="00DB26A9">
              <w:rPr>
                <w:rFonts w:eastAsia="Times New Roman"/>
                <w:color w:val="000000"/>
                <w:sz w:val="22"/>
                <w:szCs w:val="22"/>
              </w:rPr>
              <w:br/>
              <w:t xml:space="preserve">3. Select “Pricing Information” </w:t>
            </w:r>
            <w:r w:rsidRPr="00DB26A9">
              <w:rPr>
                <w:rFonts w:eastAsia="Times New Roman"/>
                <w:color w:val="000000"/>
                <w:sz w:val="22"/>
                <w:szCs w:val="22"/>
              </w:rPr>
              <w:br/>
              <w:t xml:space="preserve">4. Select “List of HCPCS Codes” </w:t>
            </w:r>
            <w:r w:rsidRPr="00DB26A9">
              <w:rPr>
                <w:rFonts w:eastAsia="Times New Roman"/>
                <w:color w:val="000000"/>
                <w:sz w:val="22"/>
                <w:szCs w:val="22"/>
              </w:rPr>
              <w:br/>
              <w:t>5. Select “National Payment Amount”</w:t>
            </w:r>
            <w:r w:rsidRPr="00DB26A9">
              <w:rPr>
                <w:rFonts w:eastAsia="Times New Roman"/>
                <w:color w:val="000000"/>
                <w:sz w:val="22"/>
                <w:szCs w:val="22"/>
              </w:rPr>
              <w:br/>
              <w:t>6. Enter codes 99213, 99214, 90834, and 90837</w:t>
            </w:r>
            <w:r w:rsidRPr="00DB26A9">
              <w:rPr>
                <w:rFonts w:eastAsia="Times New Roman"/>
                <w:color w:val="000000"/>
                <w:sz w:val="22"/>
                <w:szCs w:val="22"/>
              </w:rPr>
              <w:br/>
              <w:t>7. Select “All Modifiers”</w:t>
            </w:r>
            <w:r w:rsidRPr="00DB26A9">
              <w:rPr>
                <w:rFonts w:eastAsia="Times New Roman"/>
                <w:color w:val="000000"/>
                <w:sz w:val="22"/>
                <w:szCs w:val="22"/>
              </w:rPr>
              <w:br/>
              <w:t xml:space="preserve">8. Click "Submit" </w:t>
            </w:r>
            <w:r w:rsidRPr="00DB26A9">
              <w:rPr>
                <w:rFonts w:eastAsia="Times New Roman"/>
                <w:color w:val="000000"/>
                <w:sz w:val="22"/>
                <w:szCs w:val="22"/>
              </w:rPr>
              <w:br/>
              <w:t xml:space="preserve">9. Please utilize the “Non-Facility Price” column. </w:t>
            </w:r>
            <w:r w:rsidRPr="00DB26A9">
              <w:rPr>
                <w:rFonts w:eastAsia="Times New Roman"/>
                <w:color w:val="000000"/>
                <w:sz w:val="22"/>
                <w:szCs w:val="22"/>
              </w:rPr>
              <w:br/>
              <w:t xml:space="preserve">For further help, refer to the one page “Medicare Physician Fee Schedule (MPFS) Quick Reference Search Guide” for a step-by-step summary of how to use the MPFS: https://www.cms.gov/apps/physician-fee-schedule/help/How_to_MPFS_Booklet_ICN901344.pdf (pg 29) </w:t>
            </w:r>
            <w:r w:rsidRPr="00DB26A9">
              <w:rPr>
                <w:rFonts w:eastAsia="Times New Roman"/>
                <w:color w:val="000000"/>
                <w:sz w:val="22"/>
                <w:szCs w:val="22"/>
              </w:rPr>
              <w:br/>
              <w:t>The 75% adjustment for Clinical Social Workers Services can be found in the “Medicare Claims Processing Manual,” Chapter 12, “Physicians/Nonphysician Practitioners” at http://www.cms.gov/Regulations-and-Guidance/Guidance/Manuals/downloads/clm104c12.pdf.</w:t>
            </w:r>
          </w:p>
        </w:tc>
      </w:tr>
    </w:tbl>
    <w:p w14:paraId="516F2921" w14:textId="77777777" w:rsidR="00DB26A9" w:rsidRPr="00107095" w:rsidRDefault="00DB26A9">
      <w:pPr>
        <w:rPr>
          <w:rFonts w:asciiTheme="minorHAnsi" w:hAnsiTheme="minorHAnsi" w:cstheme="minorHAnsi"/>
          <w:sz w:val="22"/>
          <w:szCs w:val="22"/>
        </w:rPr>
      </w:pPr>
    </w:p>
    <w:sectPr w:rsidR="00DB26A9" w:rsidRPr="00107095" w:rsidSect="00B5624E">
      <w:headerReference w:type="default" r:id="rId8"/>
      <w:footerReference w:type="default" r:id="rId9"/>
      <w:pgSz w:w="12240" w:h="15840"/>
      <w:pgMar w:top="63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67831" w14:textId="77777777" w:rsidR="005D6F0A" w:rsidRDefault="005D6F0A" w:rsidP="007D6EAD">
      <w:r>
        <w:separator/>
      </w:r>
    </w:p>
  </w:endnote>
  <w:endnote w:type="continuationSeparator" w:id="0">
    <w:p w14:paraId="64B41858" w14:textId="77777777" w:rsidR="005D6F0A" w:rsidRDefault="005D6F0A" w:rsidP="007D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949042"/>
      <w:docPartObj>
        <w:docPartGallery w:val="Page Numbers (Bottom of Page)"/>
        <w:docPartUnique/>
      </w:docPartObj>
    </w:sdtPr>
    <w:sdtEndPr/>
    <w:sdtContent>
      <w:sdt>
        <w:sdtPr>
          <w:id w:val="1728636285"/>
          <w:docPartObj>
            <w:docPartGallery w:val="Page Numbers (Top of Page)"/>
            <w:docPartUnique/>
          </w:docPartObj>
        </w:sdtPr>
        <w:sdtEndPr/>
        <w:sdtContent>
          <w:p w14:paraId="0E52A6E4" w14:textId="710A7EE1" w:rsidR="009B75FA" w:rsidRDefault="009B75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624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624E">
              <w:rPr>
                <w:b/>
                <w:bCs/>
                <w:noProof/>
              </w:rPr>
              <w:t>3</w:t>
            </w:r>
            <w:r>
              <w:rPr>
                <w:b/>
                <w:bCs/>
                <w:sz w:val="24"/>
                <w:szCs w:val="24"/>
              </w:rPr>
              <w:fldChar w:fldCharType="end"/>
            </w:r>
          </w:p>
        </w:sdtContent>
      </w:sdt>
    </w:sdtContent>
  </w:sdt>
  <w:p w14:paraId="4B0BDB47" w14:textId="2113C3FE" w:rsidR="00107095" w:rsidRPr="00107095" w:rsidRDefault="00107095">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6115D" w14:textId="77777777" w:rsidR="005D6F0A" w:rsidRDefault="005D6F0A" w:rsidP="007D6EAD">
      <w:r>
        <w:separator/>
      </w:r>
    </w:p>
  </w:footnote>
  <w:footnote w:type="continuationSeparator" w:id="0">
    <w:p w14:paraId="7BFA5F98" w14:textId="77777777" w:rsidR="005D6F0A" w:rsidRDefault="005D6F0A" w:rsidP="007D6E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9CFE" w14:textId="2E277D9E" w:rsidR="009B75FA" w:rsidRDefault="00B5624E" w:rsidP="009B75FA">
    <w:pPr>
      <w:pStyle w:val="Header"/>
      <w:jc w:val="center"/>
      <w:rPr>
        <w:b/>
        <w:sz w:val="28"/>
        <w:szCs w:val="28"/>
      </w:rPr>
    </w:pPr>
    <w:r>
      <w:rPr>
        <w:b/>
        <w:sz w:val="28"/>
        <w:szCs w:val="28"/>
      </w:rPr>
      <w:t xml:space="preserve">IN-NETWORK </w:t>
    </w:r>
    <w:r w:rsidR="009B75FA" w:rsidRPr="009B75FA">
      <w:rPr>
        <w:b/>
        <w:sz w:val="28"/>
        <w:szCs w:val="28"/>
      </w:rPr>
      <w:t>REIMBURSEMENT RATES TEMPLATES</w:t>
    </w:r>
  </w:p>
  <w:p w14:paraId="3C0AE214" w14:textId="703E13C9" w:rsidR="00B5624E" w:rsidRPr="009B75FA" w:rsidRDefault="00B5624E" w:rsidP="009B75FA">
    <w:pPr>
      <w:pStyle w:val="Header"/>
      <w:jc w:val="center"/>
      <w:rPr>
        <w:b/>
        <w:sz w:val="28"/>
        <w:szCs w:val="28"/>
      </w:rPr>
    </w:pPr>
    <w:r>
      <w:rPr>
        <w:b/>
        <w:sz w:val="28"/>
        <w:szCs w:val="28"/>
      </w:rPr>
      <w:t>(OFFICE VISITS)</w:t>
    </w:r>
  </w:p>
  <w:p w14:paraId="04A61A40" w14:textId="77777777" w:rsidR="009B75FA" w:rsidRDefault="009B75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F63F8"/>
    <w:multiLevelType w:val="multilevel"/>
    <w:tmpl w:val="E70A1172"/>
    <w:lvl w:ilvl="0">
      <w:start w:val="1"/>
      <w:numFmt w:val="decimal"/>
      <w:pStyle w:val="StandardL1"/>
      <w:lvlText w:val="%1."/>
      <w:lvlJc w:val="left"/>
      <w:pPr>
        <w:tabs>
          <w:tab w:val="num" w:pos="36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A9"/>
    <w:rsid w:val="000217B0"/>
    <w:rsid w:val="00107095"/>
    <w:rsid w:val="00155461"/>
    <w:rsid w:val="00171A61"/>
    <w:rsid w:val="0020370E"/>
    <w:rsid w:val="00280B19"/>
    <w:rsid w:val="00293D72"/>
    <w:rsid w:val="002E3C82"/>
    <w:rsid w:val="003E246D"/>
    <w:rsid w:val="0043668D"/>
    <w:rsid w:val="0054311C"/>
    <w:rsid w:val="00593479"/>
    <w:rsid w:val="005D2917"/>
    <w:rsid w:val="005D6F0A"/>
    <w:rsid w:val="006B14DE"/>
    <w:rsid w:val="00701C58"/>
    <w:rsid w:val="007A4815"/>
    <w:rsid w:val="007D6EAD"/>
    <w:rsid w:val="00872E1A"/>
    <w:rsid w:val="00877C94"/>
    <w:rsid w:val="008B5DB7"/>
    <w:rsid w:val="009B75FA"/>
    <w:rsid w:val="009D39E8"/>
    <w:rsid w:val="00AE0541"/>
    <w:rsid w:val="00B5624E"/>
    <w:rsid w:val="00C51972"/>
    <w:rsid w:val="00C83751"/>
    <w:rsid w:val="00CA411D"/>
    <w:rsid w:val="00CE0B17"/>
    <w:rsid w:val="00CE610F"/>
    <w:rsid w:val="00D030BA"/>
    <w:rsid w:val="00D3194E"/>
    <w:rsid w:val="00DB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E728"/>
  <w15:chartTrackingRefBased/>
  <w15:docId w15:val="{12899E49-AFB0-4415-AC48-ADD028A3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cking">
    <w:name w:val="tracking"/>
    <w:basedOn w:val="Header"/>
    <w:link w:val="trackingChar"/>
    <w:autoRedefine/>
    <w:qFormat/>
    <w:rsid w:val="00280B19"/>
    <w:pPr>
      <w:ind w:firstLine="720"/>
      <w:jc w:val="right"/>
    </w:pPr>
    <w:rPr>
      <w:sz w:val="24"/>
    </w:rPr>
  </w:style>
  <w:style w:type="character" w:customStyle="1" w:styleId="trackingChar">
    <w:name w:val="tracking Char"/>
    <w:basedOn w:val="HeaderChar"/>
    <w:link w:val="tracking"/>
    <w:rsid w:val="00280B19"/>
    <w:rPr>
      <w:rFonts w:ascii="Times New Roman" w:hAnsi="Times New Roman"/>
      <w:sz w:val="24"/>
      <w:szCs w:val="20"/>
    </w:rPr>
  </w:style>
  <w:style w:type="paragraph" w:styleId="Header">
    <w:name w:val="header"/>
    <w:basedOn w:val="Normal"/>
    <w:link w:val="HeaderChar"/>
    <w:uiPriority w:val="99"/>
    <w:rsid w:val="00280B19"/>
    <w:pPr>
      <w:tabs>
        <w:tab w:val="center" w:pos="4320"/>
        <w:tab w:val="right" w:pos="8640"/>
      </w:tabs>
    </w:pPr>
  </w:style>
  <w:style w:type="character" w:customStyle="1" w:styleId="HeaderChar">
    <w:name w:val="Header Char"/>
    <w:link w:val="Header"/>
    <w:uiPriority w:val="99"/>
    <w:rsid w:val="00280B19"/>
    <w:rPr>
      <w:rFonts w:ascii="Times New Roman" w:hAnsi="Times New Roman"/>
      <w:sz w:val="24"/>
      <w:szCs w:val="20"/>
    </w:rPr>
  </w:style>
  <w:style w:type="paragraph" w:customStyle="1" w:styleId="NumContinue">
    <w:name w:val="Num Continue"/>
    <w:basedOn w:val="Normal"/>
    <w:rsid w:val="00280B19"/>
    <w:pPr>
      <w:jc w:val="both"/>
    </w:pPr>
    <w:rPr>
      <w:rFonts w:eastAsia="Times New Roman"/>
    </w:rPr>
  </w:style>
  <w:style w:type="paragraph" w:customStyle="1" w:styleId="ABLOCKPARA">
    <w:name w:val="A BLOCK PARA"/>
    <w:basedOn w:val="Normal"/>
    <w:rsid w:val="00280B19"/>
    <w:rPr>
      <w:rFonts w:ascii="Book Antiqua" w:eastAsia="Times New Roman" w:hAnsi="Book Antiqua"/>
      <w:sz w:val="22"/>
    </w:rPr>
  </w:style>
  <w:style w:type="paragraph" w:customStyle="1" w:styleId="StandardL1">
    <w:name w:val="Standard_L1"/>
    <w:basedOn w:val="Normal"/>
    <w:next w:val="NumContinue"/>
    <w:link w:val="StandardL1Char"/>
    <w:rsid w:val="00280B19"/>
    <w:pPr>
      <w:numPr>
        <w:numId w:val="18"/>
      </w:numPr>
      <w:jc w:val="both"/>
      <w:outlineLvl w:val="0"/>
    </w:pPr>
    <w:rPr>
      <w:rFonts w:eastAsia="Times New Roman"/>
    </w:rPr>
  </w:style>
  <w:style w:type="character" w:customStyle="1" w:styleId="StandardL1Char">
    <w:name w:val="Standard_L1 Char"/>
    <w:link w:val="StandardL1"/>
    <w:rsid w:val="00280B19"/>
    <w:rPr>
      <w:rFonts w:ascii="Times New Roman" w:eastAsia="Times New Roman" w:hAnsi="Times New Roman" w:cs="Times New Roman"/>
      <w:sz w:val="24"/>
      <w:szCs w:val="20"/>
    </w:rPr>
  </w:style>
  <w:style w:type="paragraph" w:customStyle="1" w:styleId="StandardL2">
    <w:name w:val="Standard_L2"/>
    <w:basedOn w:val="StandardL1"/>
    <w:next w:val="NumContinue"/>
    <w:rsid w:val="00280B19"/>
    <w:pPr>
      <w:numPr>
        <w:numId w:val="0"/>
      </w:numPr>
      <w:outlineLvl w:val="1"/>
    </w:pPr>
  </w:style>
  <w:style w:type="paragraph" w:customStyle="1" w:styleId="StandardL3">
    <w:name w:val="Standard_L3"/>
    <w:basedOn w:val="StandardL2"/>
    <w:next w:val="NumContinue"/>
    <w:rsid w:val="00280B19"/>
    <w:pPr>
      <w:numPr>
        <w:ilvl w:val="2"/>
        <w:numId w:val="18"/>
      </w:numPr>
      <w:outlineLvl w:val="2"/>
    </w:pPr>
  </w:style>
  <w:style w:type="paragraph" w:customStyle="1" w:styleId="StandardL4">
    <w:name w:val="Standard_L4"/>
    <w:basedOn w:val="StandardL3"/>
    <w:next w:val="NumContinue"/>
    <w:rsid w:val="00280B19"/>
    <w:pPr>
      <w:numPr>
        <w:ilvl w:val="0"/>
        <w:numId w:val="0"/>
      </w:numPr>
      <w:outlineLvl w:val="3"/>
    </w:pPr>
  </w:style>
  <w:style w:type="paragraph" w:customStyle="1" w:styleId="StandardL5">
    <w:name w:val="Standard_L5"/>
    <w:basedOn w:val="StandardL4"/>
    <w:next w:val="NumContinue"/>
    <w:rsid w:val="00280B19"/>
    <w:pPr>
      <w:outlineLvl w:val="4"/>
    </w:pPr>
  </w:style>
  <w:style w:type="paragraph" w:customStyle="1" w:styleId="StandardL6">
    <w:name w:val="Standard_L6"/>
    <w:basedOn w:val="StandardL5"/>
    <w:next w:val="NumContinue"/>
    <w:rsid w:val="00280B19"/>
    <w:pPr>
      <w:outlineLvl w:val="5"/>
    </w:pPr>
  </w:style>
  <w:style w:type="paragraph" w:customStyle="1" w:styleId="StandardL7">
    <w:name w:val="Standard_L7"/>
    <w:basedOn w:val="StandardL6"/>
    <w:next w:val="NumContinue"/>
    <w:rsid w:val="00280B19"/>
    <w:pPr>
      <w:outlineLvl w:val="6"/>
    </w:pPr>
  </w:style>
  <w:style w:type="paragraph" w:customStyle="1" w:styleId="StandardL8">
    <w:name w:val="Standard_L8"/>
    <w:basedOn w:val="StandardL7"/>
    <w:next w:val="NumContinue"/>
    <w:rsid w:val="00280B19"/>
    <w:pPr>
      <w:outlineLvl w:val="7"/>
    </w:pPr>
  </w:style>
  <w:style w:type="paragraph" w:customStyle="1" w:styleId="StandardL9">
    <w:name w:val="Standard_L9"/>
    <w:basedOn w:val="StandardL8"/>
    <w:next w:val="NumContinue"/>
    <w:rsid w:val="00280B19"/>
    <w:pPr>
      <w:outlineLvl w:val="8"/>
    </w:pPr>
  </w:style>
  <w:style w:type="character" w:customStyle="1" w:styleId="zzmpTrailerItem">
    <w:name w:val="zzmpTrailerItem"/>
    <w:rsid w:val="00280B19"/>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ocID">
    <w:name w:val="DocID"/>
    <w:basedOn w:val="Footer"/>
    <w:next w:val="Footer"/>
    <w:link w:val="DocIDChar"/>
    <w:rsid w:val="00280B19"/>
    <w:pPr>
      <w:tabs>
        <w:tab w:val="clear" w:pos="4320"/>
        <w:tab w:val="clear" w:pos="8640"/>
      </w:tabs>
    </w:pPr>
    <w:rPr>
      <w:rFonts w:eastAsia="Times New Roman"/>
      <w:sz w:val="16"/>
    </w:rPr>
  </w:style>
  <w:style w:type="character" w:customStyle="1" w:styleId="DocIDChar">
    <w:name w:val="DocID Char"/>
    <w:link w:val="DocID"/>
    <w:rsid w:val="00280B19"/>
    <w:rPr>
      <w:rFonts w:ascii="Times New Roman" w:eastAsia="Times New Roman" w:hAnsi="Times New Roman" w:cs="Times New Roman"/>
      <w:sz w:val="16"/>
      <w:szCs w:val="20"/>
    </w:rPr>
  </w:style>
  <w:style w:type="paragraph" w:styleId="Footer">
    <w:name w:val="footer"/>
    <w:basedOn w:val="Normal"/>
    <w:link w:val="FooterChar"/>
    <w:uiPriority w:val="99"/>
    <w:rsid w:val="00280B19"/>
    <w:pPr>
      <w:tabs>
        <w:tab w:val="center" w:pos="4320"/>
        <w:tab w:val="right" w:pos="8640"/>
      </w:tabs>
    </w:pPr>
  </w:style>
  <w:style w:type="character" w:customStyle="1" w:styleId="FooterChar">
    <w:name w:val="Footer Char"/>
    <w:link w:val="Footer"/>
    <w:uiPriority w:val="99"/>
    <w:rsid w:val="00280B19"/>
    <w:rPr>
      <w:rFonts w:ascii="Times New Roman" w:hAnsi="Times New Roman"/>
      <w:sz w:val="24"/>
      <w:szCs w:val="20"/>
    </w:rPr>
  </w:style>
  <w:style w:type="paragraph" w:customStyle="1" w:styleId="tracking0">
    <w:name w:val="*tracking"/>
    <w:basedOn w:val="Header"/>
    <w:link w:val="trackingChar0"/>
    <w:autoRedefine/>
    <w:qFormat/>
    <w:rsid w:val="00280B19"/>
    <w:pPr>
      <w:jc w:val="right"/>
    </w:pPr>
    <w:rPr>
      <w:rFonts w:eastAsia="Times New Roman"/>
    </w:rPr>
  </w:style>
  <w:style w:type="character" w:customStyle="1" w:styleId="trackingChar0">
    <w:name w:val="*tracking Char"/>
    <w:basedOn w:val="HeaderChar"/>
    <w:link w:val="tracking0"/>
    <w:rsid w:val="00280B19"/>
    <w:rPr>
      <w:rFonts w:ascii="Times New Roman" w:eastAsia="Times New Roman" w:hAnsi="Times New Roman" w:cs="Times New Roman"/>
      <w:sz w:val="20"/>
      <w:szCs w:val="20"/>
    </w:rPr>
  </w:style>
  <w:style w:type="paragraph" w:styleId="FootnoteText">
    <w:name w:val="footnote text"/>
    <w:basedOn w:val="Normal"/>
    <w:link w:val="FootnoteTextChar"/>
    <w:rsid w:val="00280B19"/>
    <w:rPr>
      <w:rFonts w:eastAsia="Times New Roman"/>
    </w:rPr>
  </w:style>
  <w:style w:type="character" w:customStyle="1" w:styleId="FootnoteTextChar">
    <w:name w:val="Footnote Text Char"/>
    <w:basedOn w:val="DefaultParagraphFont"/>
    <w:link w:val="FootnoteText"/>
    <w:rsid w:val="00280B19"/>
    <w:rPr>
      <w:rFonts w:ascii="Times New Roman" w:eastAsia="Times New Roman" w:hAnsi="Times New Roman" w:cs="Times New Roman"/>
      <w:sz w:val="20"/>
      <w:szCs w:val="20"/>
    </w:rPr>
  </w:style>
  <w:style w:type="character" w:styleId="FootnoteReference">
    <w:name w:val="footnote reference"/>
    <w:rsid w:val="00280B19"/>
    <w:rPr>
      <w:vertAlign w:val="superscript"/>
    </w:rPr>
  </w:style>
  <w:style w:type="character" w:styleId="PageNumber">
    <w:name w:val="page number"/>
    <w:basedOn w:val="DefaultParagraphFont"/>
    <w:rsid w:val="00280B19"/>
  </w:style>
  <w:style w:type="paragraph" w:styleId="BodyText">
    <w:name w:val="Body Text"/>
    <w:basedOn w:val="Normal"/>
    <w:link w:val="BodyTextChar"/>
    <w:uiPriority w:val="1"/>
    <w:qFormat/>
    <w:rsid w:val="00280B19"/>
    <w:pPr>
      <w:widowControl w:val="0"/>
      <w:autoSpaceDE w:val="0"/>
      <w:autoSpaceDN w:val="0"/>
    </w:pPr>
    <w:rPr>
      <w:rFonts w:ascii="Arial" w:eastAsia="Arial" w:hAnsi="Arial" w:cs="Arial"/>
      <w:sz w:val="21"/>
      <w:szCs w:val="21"/>
    </w:rPr>
  </w:style>
  <w:style w:type="character" w:customStyle="1" w:styleId="BodyTextChar">
    <w:name w:val="Body Text Char"/>
    <w:link w:val="BodyText"/>
    <w:uiPriority w:val="1"/>
    <w:rsid w:val="00280B19"/>
    <w:rPr>
      <w:rFonts w:ascii="Arial" w:eastAsia="Arial" w:hAnsi="Arial" w:cs="Arial"/>
      <w:sz w:val="21"/>
      <w:szCs w:val="21"/>
    </w:rPr>
  </w:style>
  <w:style w:type="paragraph" w:styleId="BalloonText">
    <w:name w:val="Balloon Text"/>
    <w:basedOn w:val="Normal"/>
    <w:link w:val="BalloonTextChar"/>
    <w:rsid w:val="00280B19"/>
    <w:rPr>
      <w:rFonts w:ascii="Tahoma" w:eastAsia="Times New Roman" w:hAnsi="Tahoma" w:cs="Tahoma"/>
      <w:sz w:val="16"/>
      <w:szCs w:val="16"/>
    </w:rPr>
  </w:style>
  <w:style w:type="character" w:customStyle="1" w:styleId="BalloonTextChar">
    <w:name w:val="Balloon Text Char"/>
    <w:link w:val="BalloonText"/>
    <w:rsid w:val="00280B19"/>
    <w:rPr>
      <w:rFonts w:ascii="Tahoma" w:eastAsia="Times New Roman" w:hAnsi="Tahoma" w:cs="Tahoma"/>
      <w:sz w:val="16"/>
      <w:szCs w:val="16"/>
    </w:rPr>
  </w:style>
  <w:style w:type="paragraph" w:styleId="ListParagraph">
    <w:name w:val="List Paragraph"/>
    <w:basedOn w:val="Normal"/>
    <w:uiPriority w:val="1"/>
    <w:qFormat/>
    <w:rsid w:val="00280B19"/>
    <w:pPr>
      <w:widowControl w:val="0"/>
      <w:autoSpaceDE w:val="0"/>
      <w:autoSpaceDN w:val="0"/>
      <w:ind w:left="3257" w:hanging="358"/>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846">
      <w:bodyDiv w:val="1"/>
      <w:marLeft w:val="0"/>
      <w:marRight w:val="0"/>
      <w:marTop w:val="0"/>
      <w:marBottom w:val="0"/>
      <w:divBdr>
        <w:top w:val="none" w:sz="0" w:space="0" w:color="auto"/>
        <w:left w:val="none" w:sz="0" w:space="0" w:color="auto"/>
        <w:bottom w:val="none" w:sz="0" w:space="0" w:color="auto"/>
        <w:right w:val="none" w:sz="0" w:space="0" w:color="auto"/>
      </w:divBdr>
    </w:div>
    <w:div w:id="808325944">
      <w:bodyDiv w:val="1"/>
      <w:marLeft w:val="0"/>
      <w:marRight w:val="0"/>
      <w:marTop w:val="0"/>
      <w:marBottom w:val="0"/>
      <w:divBdr>
        <w:top w:val="none" w:sz="0" w:space="0" w:color="auto"/>
        <w:left w:val="none" w:sz="0" w:space="0" w:color="auto"/>
        <w:bottom w:val="none" w:sz="0" w:space="0" w:color="auto"/>
        <w:right w:val="none" w:sz="0" w:space="0" w:color="auto"/>
      </w:divBdr>
    </w:div>
    <w:div w:id="1441996678">
      <w:bodyDiv w:val="1"/>
      <w:marLeft w:val="0"/>
      <w:marRight w:val="0"/>
      <w:marTop w:val="0"/>
      <w:marBottom w:val="0"/>
      <w:divBdr>
        <w:top w:val="none" w:sz="0" w:space="0" w:color="auto"/>
        <w:left w:val="none" w:sz="0" w:space="0" w:color="auto"/>
        <w:bottom w:val="none" w:sz="0" w:space="0" w:color="auto"/>
        <w:right w:val="none" w:sz="0" w:space="0" w:color="auto"/>
      </w:divBdr>
    </w:div>
    <w:div w:id="17775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6069D1156FC54EA605723FDF7ADDD7" ma:contentTypeVersion="2" ma:contentTypeDescription="Create a new document." ma:contentTypeScope="" ma:versionID="283ea1e912fd4014a9985fd2b5579381">
  <xsd:schema xmlns:xsd="http://www.w3.org/2001/XMLSchema" xmlns:xs="http://www.w3.org/2001/XMLSchema" xmlns:p="http://schemas.microsoft.com/office/2006/metadata/properties" xmlns:ns1="http://schemas.microsoft.com/sharepoint/v3" targetNamespace="http://schemas.microsoft.com/office/2006/metadata/properties" ma:root="true" ma:fieldsID="046b9da366468e0e63394157a641fd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24CB2-05F5-42F6-96F2-216157976116}"/>
</file>

<file path=customXml/itemProps2.xml><?xml version="1.0" encoding="utf-8"?>
<ds:datastoreItem xmlns:ds="http://schemas.openxmlformats.org/officeDocument/2006/customXml" ds:itemID="{BDFFD930-E1ED-4D26-B01B-76B10C4282BE}"/>
</file>

<file path=customXml/itemProps3.xml><?xml version="1.0" encoding="utf-8"?>
<ds:datastoreItem xmlns:ds="http://schemas.openxmlformats.org/officeDocument/2006/customXml" ds:itemID="{97DAC2CC-42A4-403A-B10C-EF0AE32EACDC}"/>
</file>

<file path=customXml/itemProps4.xml><?xml version="1.0" encoding="utf-8"?>
<ds:datastoreItem xmlns:ds="http://schemas.openxmlformats.org/officeDocument/2006/customXml" ds:itemID="{E20E9BDD-514D-4F55-AD6A-967DE3B29FB5}"/>
</file>

<file path=docProps/app.xml><?xml version="1.0" encoding="utf-8"?>
<Properties xmlns="http://schemas.openxmlformats.org/officeDocument/2006/extended-properties" xmlns:vt="http://schemas.openxmlformats.org/officeDocument/2006/docPropsVTypes">
  <Template>Normal.dotm</Template>
  <TotalTime>27</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Wells</dc:creator>
  <cp:keywords/>
  <dc:description/>
  <cp:lastModifiedBy>Beth Ann Middlebrook</cp:lastModifiedBy>
  <cp:revision>9</cp:revision>
  <dcterms:created xsi:type="dcterms:W3CDTF">2021-04-23T17:14:00Z</dcterms:created>
  <dcterms:modified xsi:type="dcterms:W3CDTF">2021-04-23T17:42:00Z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0x010100696069D1156FC54EA605723FDF7ADDD7</vt:lpwstr>
  </property>
</Properties>
</file>